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C6E" w:rsidRDefault="00902C6E">
      <w:pPr>
        <w:widowControl w:val="0"/>
        <w:spacing w:after="0" w:line="276" w:lineRule="auto"/>
        <w:jc w:val="left"/>
      </w:pPr>
    </w:p>
    <w:p w:rsidR="00902C6E" w:rsidRDefault="00902C6E">
      <w:pPr>
        <w:pStyle w:val="Titolo1"/>
        <w:jc w:val="both"/>
      </w:pPr>
    </w:p>
    <w:p w:rsidR="00902C6E" w:rsidRDefault="00575269">
      <w:pPr>
        <w:rPr>
          <w:lang w:val="it-IT"/>
        </w:rPr>
      </w:pPr>
      <w:r>
        <w:rPr>
          <w:noProof/>
          <w:lang w:val="it-IT"/>
        </w:rPr>
        <w:drawing>
          <wp:inline distT="0" distB="0" distL="0" distR="0">
            <wp:extent cx="5731510" cy="1516381"/>
            <wp:effectExtent l="0" t="0" r="0" b="0"/>
            <wp:docPr id="1073741825" name="officeArt object" descr="Γραφικό 13"/>
            <wp:cNvGraphicFramePr/>
            <a:graphic xmlns:a="http://schemas.openxmlformats.org/drawingml/2006/main">
              <a:graphicData uri="http://schemas.openxmlformats.org/drawingml/2006/picture">
                <pic:pic xmlns:pic="http://schemas.openxmlformats.org/drawingml/2006/picture">
                  <pic:nvPicPr>
                    <pic:cNvPr id="1073741825" name="Γραφικό 13" descr="Γραφικό 13"/>
                    <pic:cNvPicPr>
                      <a:picLocks noChangeAspect="1"/>
                    </pic:cNvPicPr>
                  </pic:nvPicPr>
                  <pic:blipFill>
                    <a:blip r:embed="rId7">
                      <a:extLst/>
                    </a:blip>
                    <a:stretch>
                      <a:fillRect/>
                    </a:stretch>
                  </pic:blipFill>
                  <pic:spPr>
                    <a:xfrm>
                      <a:off x="0" y="0"/>
                      <a:ext cx="5731510" cy="1516381"/>
                    </a:xfrm>
                    <a:prstGeom prst="rect">
                      <a:avLst/>
                    </a:prstGeom>
                    <a:ln w="12700" cap="flat">
                      <a:noFill/>
                      <a:miter lim="400000"/>
                    </a:ln>
                    <a:effectLst>
                      <a:outerShdw blurRad="406400" dist="317500" dir="5400000" rotWithShape="0">
                        <a:srgbClr val="000000">
                          <a:alpha val="15000"/>
                        </a:srgbClr>
                      </a:outerShdw>
                    </a:effectLst>
                  </pic:spPr>
                </pic:pic>
              </a:graphicData>
            </a:graphic>
          </wp:inline>
        </w:drawing>
      </w:r>
    </w:p>
    <w:p w:rsidR="00902C6E" w:rsidRDefault="00575269">
      <w:pPr>
        <w:jc w:val="center"/>
        <w:rPr>
          <w:b/>
          <w:bCs/>
          <w:color w:val="C00000"/>
          <w:sz w:val="96"/>
          <w:szCs w:val="96"/>
          <w:u w:color="C00000"/>
          <w:lang w:val="it-IT"/>
        </w:rPr>
      </w:pPr>
      <w:r>
        <w:rPr>
          <w:b/>
          <w:bCs/>
          <w:color w:val="C00000"/>
          <w:sz w:val="96"/>
          <w:szCs w:val="96"/>
          <w:u w:color="C00000"/>
          <w:lang w:val="it-IT"/>
        </w:rPr>
        <w:t xml:space="preserve">Manuel </w:t>
      </w:r>
    </w:p>
    <w:p w:rsidR="00902C6E" w:rsidRDefault="00575269">
      <w:pPr>
        <w:jc w:val="center"/>
        <w:rPr>
          <w:sz w:val="40"/>
          <w:szCs w:val="40"/>
          <w:lang w:val="it-IT"/>
        </w:rPr>
      </w:pPr>
      <w:r>
        <w:rPr>
          <w:b/>
          <w:bCs/>
          <w:color w:val="C00000"/>
          <w:sz w:val="40"/>
          <w:szCs w:val="40"/>
          <w:u w:color="C00000"/>
          <w:lang w:val="it-IT"/>
        </w:rPr>
        <w:t xml:space="preserve">Module 1 </w:t>
      </w:r>
      <w:r>
        <w:rPr>
          <w:b/>
          <w:bCs/>
          <w:sz w:val="40"/>
          <w:szCs w:val="40"/>
          <w:lang w:val="it-IT"/>
        </w:rPr>
        <w:br/>
      </w:r>
      <w:r>
        <w:rPr>
          <w:sz w:val="40"/>
          <w:szCs w:val="40"/>
          <w:lang w:val="it-IT"/>
        </w:rPr>
        <w:t>Qu'est-ce que la</w:t>
      </w:r>
    </w:p>
    <w:p w:rsidR="00902C6E" w:rsidRDefault="00575269">
      <w:pPr>
        <w:jc w:val="center"/>
        <w:rPr>
          <w:sz w:val="40"/>
          <w:szCs w:val="40"/>
          <w:lang w:val="it-IT"/>
        </w:rPr>
      </w:pPr>
      <w:r>
        <w:rPr>
          <w:sz w:val="40"/>
          <w:szCs w:val="40"/>
          <w:lang w:val="it-IT"/>
        </w:rPr>
        <w:t xml:space="preserve"> </w:t>
      </w:r>
      <w:r>
        <w:rPr>
          <w:i/>
          <w:iCs/>
          <w:sz w:val="40"/>
          <w:szCs w:val="40"/>
          <w:lang w:val="it-IT"/>
        </w:rPr>
        <w:t>Digital Health Literacy</w:t>
      </w:r>
      <w:r>
        <w:rPr>
          <w:sz w:val="40"/>
          <w:szCs w:val="40"/>
          <w:lang w:val="it-IT"/>
        </w:rPr>
        <w:t xml:space="preserve"> (littératie en santé numérique)?</w:t>
      </w:r>
    </w:p>
    <w:p w:rsidR="00902C6E" w:rsidRDefault="00575269">
      <w:pPr>
        <w:jc w:val="left"/>
        <w:rPr>
          <w:sz w:val="28"/>
          <w:szCs w:val="28"/>
          <w:lang w:val="it-IT"/>
        </w:rPr>
      </w:pPr>
      <w:r>
        <w:rPr>
          <w:b/>
          <w:bCs/>
          <w:color w:val="C00000"/>
          <w:sz w:val="32"/>
          <w:szCs w:val="32"/>
          <w:u w:color="C00000"/>
          <w:lang w:val="it-IT"/>
        </w:rPr>
        <w:t>Auteurs:</w:t>
      </w:r>
      <w:r>
        <w:rPr>
          <w:b/>
          <w:bCs/>
          <w:color w:val="C00000"/>
          <w:sz w:val="32"/>
          <w:szCs w:val="32"/>
          <w:u w:color="C00000"/>
          <w:lang w:val="it-IT"/>
        </w:rPr>
        <w:br/>
      </w:r>
      <w:r>
        <w:rPr>
          <w:sz w:val="28"/>
          <w:szCs w:val="28"/>
          <w:lang w:val="it-IT"/>
        </w:rPr>
        <w:t>Carlos Serra, UVEG; Jenny Wielga, IAT</w:t>
      </w:r>
    </w:p>
    <w:p w:rsidR="00902C6E" w:rsidRDefault="00902C6E">
      <w:pPr>
        <w:rPr>
          <w:sz w:val="16"/>
          <w:szCs w:val="16"/>
          <w:lang w:val="it-IT"/>
        </w:rPr>
      </w:pPr>
    </w:p>
    <w:tbl>
      <w:tblPr>
        <w:tblStyle w:val="TableNormal"/>
        <w:tblW w:w="90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180"/>
        <w:gridCol w:w="1804"/>
        <w:gridCol w:w="1031"/>
        <w:gridCol w:w="1509"/>
        <w:gridCol w:w="1110"/>
        <w:gridCol w:w="1857"/>
        <w:gridCol w:w="1529"/>
      </w:tblGrid>
      <w:tr w:rsidR="00902C6E">
        <w:tblPrEx>
          <w:tblCellMar>
            <w:top w:w="0" w:type="dxa"/>
            <w:left w:w="0" w:type="dxa"/>
            <w:bottom w:w="0" w:type="dxa"/>
            <w:right w:w="0" w:type="dxa"/>
          </w:tblCellMar>
        </w:tblPrEx>
        <w:trPr>
          <w:trHeight w:val="1038"/>
          <w:jc w:val="center"/>
        </w:trPr>
        <w:tc>
          <w:tcPr>
            <w:tcW w:w="1968" w:type="dxa"/>
            <w:gridSpan w:val="2"/>
            <w:tcBorders>
              <w:top w:val="nil"/>
              <w:left w:val="nil"/>
              <w:bottom w:val="nil"/>
              <w:right w:val="nil"/>
            </w:tcBorders>
            <w:shd w:val="clear" w:color="auto" w:fill="auto"/>
            <w:tcMar>
              <w:top w:w="80" w:type="dxa"/>
              <w:left w:w="80" w:type="dxa"/>
              <w:bottom w:w="80" w:type="dxa"/>
              <w:right w:w="80" w:type="dxa"/>
            </w:tcMar>
          </w:tcPr>
          <w:p w:rsidR="00902C6E" w:rsidRDefault="00575269">
            <w:r>
              <w:rPr>
                <w:noProof/>
                <w:sz w:val="16"/>
                <w:szCs w:val="16"/>
                <w:lang w:val="it-IT"/>
              </w:rPr>
              <w:drawing>
                <wp:inline distT="0" distB="0" distL="0" distR="0">
                  <wp:extent cx="1101330" cy="620554"/>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8">
                            <a:extLst/>
                          </a:blip>
                          <a:srcRect b="18123"/>
                          <a:stretch>
                            <a:fillRect/>
                          </a:stretch>
                        </pic:blipFill>
                        <pic:spPr>
                          <a:xfrm>
                            <a:off x="0" y="0"/>
                            <a:ext cx="1101330" cy="620554"/>
                          </a:xfrm>
                          <a:prstGeom prst="rect">
                            <a:avLst/>
                          </a:prstGeom>
                          <a:ln w="12700" cap="flat">
                            <a:noFill/>
                            <a:miter lim="400000"/>
                          </a:ln>
                          <a:effectLst/>
                        </pic:spPr>
                      </pic:pic>
                    </a:graphicData>
                  </a:graphic>
                </wp:inline>
              </w:drawing>
            </w:r>
          </w:p>
        </w:tc>
        <w:tc>
          <w:tcPr>
            <w:tcW w:w="1033" w:type="dxa"/>
            <w:tcBorders>
              <w:top w:val="nil"/>
              <w:left w:val="nil"/>
              <w:bottom w:val="nil"/>
              <w:right w:val="nil"/>
            </w:tcBorders>
            <w:shd w:val="clear" w:color="auto" w:fill="auto"/>
            <w:tcMar>
              <w:top w:w="80" w:type="dxa"/>
              <w:left w:w="80" w:type="dxa"/>
              <w:bottom w:w="80" w:type="dxa"/>
              <w:right w:w="80" w:type="dxa"/>
            </w:tcMar>
          </w:tcPr>
          <w:p w:rsidR="00902C6E" w:rsidRDefault="00902C6E"/>
        </w:tc>
        <w:tc>
          <w:tcPr>
            <w:tcW w:w="2625" w:type="dxa"/>
            <w:gridSpan w:val="2"/>
            <w:tcBorders>
              <w:top w:val="nil"/>
              <w:left w:val="nil"/>
              <w:bottom w:val="nil"/>
              <w:right w:val="nil"/>
            </w:tcBorders>
            <w:shd w:val="clear" w:color="auto" w:fill="auto"/>
            <w:tcMar>
              <w:top w:w="80" w:type="dxa"/>
              <w:left w:w="80" w:type="dxa"/>
              <w:bottom w:w="80" w:type="dxa"/>
              <w:right w:w="80" w:type="dxa"/>
            </w:tcMar>
          </w:tcPr>
          <w:p w:rsidR="00902C6E" w:rsidRDefault="0086465D" w:rsidP="0086465D">
            <w:pPr>
              <w:ind w:firstLine="720"/>
            </w:pPr>
            <w:r w:rsidRPr="00EB08FF">
              <w:rPr>
                <w:noProof/>
                <w:sz w:val="16"/>
                <w:szCs w:val="16"/>
                <w:lang w:val="it-IT"/>
              </w:rPr>
              <w:drawing>
                <wp:anchor distT="0" distB="0" distL="114300" distR="114300" simplePos="0" relativeHeight="251662336" behindDoc="0" locked="0" layoutInCell="1" allowOverlap="1" wp14:anchorId="72E403B3" wp14:editId="306EEFDA">
                  <wp:simplePos x="0" y="0"/>
                  <wp:positionH relativeFrom="column">
                    <wp:posOffset>3175</wp:posOffset>
                  </wp:positionH>
                  <wp:positionV relativeFrom="paragraph">
                    <wp:posOffset>-130810</wp:posOffset>
                  </wp:positionV>
                  <wp:extent cx="688063" cy="895980"/>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861" w:type="dxa"/>
            <w:tcBorders>
              <w:top w:val="nil"/>
              <w:left w:val="nil"/>
              <w:bottom w:val="nil"/>
              <w:right w:val="nil"/>
            </w:tcBorders>
            <w:shd w:val="clear" w:color="auto" w:fill="auto"/>
            <w:tcMar>
              <w:top w:w="80" w:type="dxa"/>
              <w:left w:w="80" w:type="dxa"/>
              <w:bottom w:w="80" w:type="dxa"/>
              <w:right w:w="80" w:type="dxa"/>
            </w:tcMar>
          </w:tcPr>
          <w:p w:rsidR="00902C6E" w:rsidRDefault="0086465D">
            <w:pPr>
              <w:spacing w:after="0" w:line="240" w:lineRule="auto"/>
              <w:jc w:val="left"/>
            </w:pPr>
            <w:bookmarkStart w:id="0" w:name="_GoBack"/>
            <w:r>
              <w:rPr>
                <w:noProof/>
                <w:sz w:val="16"/>
                <w:szCs w:val="16"/>
                <w:lang w:val="it-IT"/>
              </w:rPr>
              <w:drawing>
                <wp:inline distT="0" distB="0" distL="0" distR="0" wp14:anchorId="4F79BC65" wp14:editId="0C3D4E27">
                  <wp:extent cx="787400" cy="582261"/>
                  <wp:effectExtent l="0" t="0" r="0" b="8890"/>
                  <wp:docPr id="1073741827" name="officeArt object" descr="Picture 8"/>
                  <wp:cNvGraphicFramePr/>
                  <a:graphic xmlns:a="http://schemas.openxmlformats.org/drawingml/2006/main">
                    <a:graphicData uri="http://schemas.openxmlformats.org/drawingml/2006/picture">
                      <pic:pic xmlns:pic="http://schemas.openxmlformats.org/drawingml/2006/picture">
                        <pic:nvPicPr>
                          <pic:cNvPr id="1073741827" name="Picture 8" descr="Picture 8"/>
                          <pic:cNvPicPr>
                            <a:picLocks noChangeAspect="1"/>
                          </pic:cNvPicPr>
                        </pic:nvPicPr>
                        <pic:blipFill>
                          <a:blip r:embed="rId10">
                            <a:extLst/>
                          </a:blip>
                          <a:srcRect l="21020" r="20315" b="18194"/>
                          <a:stretch>
                            <a:fillRect/>
                          </a:stretch>
                        </pic:blipFill>
                        <pic:spPr>
                          <a:xfrm>
                            <a:off x="0" y="0"/>
                            <a:ext cx="857032" cy="633752"/>
                          </a:xfrm>
                          <a:prstGeom prst="rect">
                            <a:avLst/>
                          </a:prstGeom>
                          <a:ln w="12700" cap="flat">
                            <a:noFill/>
                            <a:miter lim="400000"/>
                          </a:ln>
                          <a:effectLst/>
                        </pic:spPr>
                      </pic:pic>
                    </a:graphicData>
                  </a:graphic>
                </wp:inline>
              </w:drawing>
            </w:r>
            <w:bookmarkEnd w:id="0"/>
          </w:p>
        </w:tc>
        <w:tc>
          <w:tcPr>
            <w:tcW w:w="1531" w:type="dxa"/>
            <w:tcBorders>
              <w:top w:val="nil"/>
              <w:left w:val="nil"/>
              <w:bottom w:val="nil"/>
              <w:right w:val="nil"/>
            </w:tcBorders>
            <w:shd w:val="clear" w:color="auto" w:fill="auto"/>
            <w:tcMar>
              <w:top w:w="80" w:type="dxa"/>
              <w:left w:w="80" w:type="dxa"/>
              <w:bottom w:w="80" w:type="dxa"/>
              <w:right w:w="80" w:type="dxa"/>
            </w:tcMar>
          </w:tcPr>
          <w:p w:rsidR="00902C6E" w:rsidRDefault="00575269">
            <w:pPr>
              <w:spacing w:after="0" w:line="240" w:lineRule="auto"/>
              <w:jc w:val="left"/>
            </w:pPr>
            <w:r>
              <w:rPr>
                <w:noProof/>
                <w:sz w:val="16"/>
                <w:szCs w:val="16"/>
                <w:lang w:val="it-IT"/>
              </w:rPr>
              <w:drawing>
                <wp:inline distT="0" distB="0" distL="0" distR="0">
                  <wp:extent cx="833026" cy="620395"/>
                  <wp:effectExtent l="0" t="0" r="0" b="0"/>
                  <wp:docPr id="1073741828" name="officeArt object" descr="Picture 8"/>
                  <wp:cNvGraphicFramePr/>
                  <a:graphic xmlns:a="http://schemas.openxmlformats.org/drawingml/2006/main">
                    <a:graphicData uri="http://schemas.openxmlformats.org/drawingml/2006/picture">
                      <pic:pic xmlns:pic="http://schemas.openxmlformats.org/drawingml/2006/picture">
                        <pic:nvPicPr>
                          <pic:cNvPr id="1073741828" name="Picture 8" descr="Picture 8"/>
                          <pic:cNvPicPr>
                            <a:picLocks noChangeAspect="1"/>
                          </pic:cNvPicPr>
                        </pic:nvPicPr>
                        <pic:blipFill>
                          <a:blip r:embed="rId11">
                            <a:extLst/>
                          </a:blip>
                          <a:srcRect l="13851" t="35173" r="12037" b="11432"/>
                          <a:stretch>
                            <a:fillRect/>
                          </a:stretch>
                        </pic:blipFill>
                        <pic:spPr>
                          <a:xfrm>
                            <a:off x="0" y="0"/>
                            <a:ext cx="833026" cy="620395"/>
                          </a:xfrm>
                          <a:prstGeom prst="rect">
                            <a:avLst/>
                          </a:prstGeom>
                          <a:ln w="12700" cap="flat">
                            <a:noFill/>
                            <a:miter lim="400000"/>
                          </a:ln>
                          <a:effectLst/>
                        </pic:spPr>
                      </pic:pic>
                    </a:graphicData>
                  </a:graphic>
                </wp:inline>
              </w:drawing>
            </w:r>
          </w:p>
        </w:tc>
      </w:tr>
      <w:tr w:rsidR="00902C6E">
        <w:tblPrEx>
          <w:tblCellMar>
            <w:top w:w="0" w:type="dxa"/>
            <w:left w:w="0" w:type="dxa"/>
            <w:bottom w:w="0" w:type="dxa"/>
            <w:right w:w="0" w:type="dxa"/>
          </w:tblCellMar>
        </w:tblPrEx>
        <w:trPr>
          <w:trHeight w:val="659"/>
          <w:jc w:val="center"/>
        </w:trPr>
        <w:tc>
          <w:tcPr>
            <w:tcW w:w="159" w:type="dxa"/>
            <w:tcBorders>
              <w:top w:val="nil"/>
              <w:left w:val="nil"/>
              <w:bottom w:val="nil"/>
              <w:right w:val="nil"/>
            </w:tcBorders>
            <w:shd w:val="clear" w:color="auto" w:fill="auto"/>
            <w:tcMar>
              <w:top w:w="80" w:type="dxa"/>
              <w:left w:w="80" w:type="dxa"/>
              <w:bottom w:w="80" w:type="dxa"/>
              <w:right w:w="80" w:type="dxa"/>
            </w:tcMar>
          </w:tcPr>
          <w:p w:rsidR="00902C6E" w:rsidRDefault="00902C6E"/>
        </w:tc>
        <w:tc>
          <w:tcPr>
            <w:tcW w:w="4354" w:type="dxa"/>
            <w:gridSpan w:val="3"/>
            <w:tcBorders>
              <w:top w:val="nil"/>
              <w:left w:val="nil"/>
              <w:bottom w:val="nil"/>
              <w:right w:val="nil"/>
            </w:tcBorders>
            <w:shd w:val="clear" w:color="auto" w:fill="auto"/>
            <w:tcMar>
              <w:top w:w="80" w:type="dxa"/>
              <w:left w:w="80" w:type="dxa"/>
              <w:bottom w:w="80" w:type="dxa"/>
              <w:right w:w="80" w:type="dxa"/>
            </w:tcMar>
          </w:tcPr>
          <w:p w:rsidR="00902C6E" w:rsidRDefault="00575269">
            <w:pPr>
              <w:spacing w:after="0" w:line="240" w:lineRule="auto"/>
              <w:jc w:val="center"/>
            </w:pPr>
            <w:r>
              <w:rPr>
                <w:noProof/>
                <w:sz w:val="16"/>
                <w:szCs w:val="16"/>
                <w:lang w:val="it-IT"/>
              </w:rPr>
              <w:drawing>
                <wp:inline distT="0" distB="0" distL="0" distR="0">
                  <wp:extent cx="930963" cy="386715"/>
                  <wp:effectExtent l="0" t="0" r="0" b="0"/>
                  <wp:docPr id="1073741829" name="officeArt object" descr="Picture 4"/>
                  <wp:cNvGraphicFramePr/>
                  <a:graphic xmlns:a="http://schemas.openxmlformats.org/drawingml/2006/main">
                    <a:graphicData uri="http://schemas.openxmlformats.org/drawingml/2006/picture">
                      <pic:pic xmlns:pic="http://schemas.openxmlformats.org/drawingml/2006/picture">
                        <pic:nvPicPr>
                          <pic:cNvPr id="1073741829" name="Picture 4" descr="Picture 4"/>
                          <pic:cNvPicPr>
                            <a:picLocks noChangeAspect="1"/>
                          </pic:cNvPicPr>
                        </pic:nvPicPr>
                        <pic:blipFill>
                          <a:blip r:embed="rId12">
                            <a:extLst/>
                          </a:blip>
                          <a:srcRect l="9456" r="8192" b="16967"/>
                          <a:stretch>
                            <a:fillRect/>
                          </a:stretch>
                        </pic:blipFill>
                        <pic:spPr>
                          <a:xfrm>
                            <a:off x="0" y="0"/>
                            <a:ext cx="930963" cy="386715"/>
                          </a:xfrm>
                          <a:prstGeom prst="rect">
                            <a:avLst/>
                          </a:prstGeom>
                          <a:ln w="12700" cap="flat">
                            <a:noFill/>
                            <a:miter lim="400000"/>
                          </a:ln>
                          <a:effectLst/>
                        </pic:spPr>
                      </pic:pic>
                    </a:graphicData>
                  </a:graphic>
                </wp:inline>
              </w:drawing>
            </w:r>
          </w:p>
        </w:tc>
        <w:tc>
          <w:tcPr>
            <w:tcW w:w="4506" w:type="dxa"/>
            <w:gridSpan w:val="3"/>
            <w:tcBorders>
              <w:top w:val="nil"/>
              <w:left w:val="nil"/>
              <w:bottom w:val="nil"/>
              <w:right w:val="nil"/>
            </w:tcBorders>
            <w:shd w:val="clear" w:color="auto" w:fill="auto"/>
            <w:tcMar>
              <w:top w:w="80" w:type="dxa"/>
              <w:left w:w="80" w:type="dxa"/>
              <w:bottom w:w="80" w:type="dxa"/>
              <w:right w:w="80" w:type="dxa"/>
            </w:tcMar>
          </w:tcPr>
          <w:p w:rsidR="00902C6E" w:rsidRDefault="0086465D">
            <w:pPr>
              <w:spacing w:after="0" w:line="240" w:lineRule="auto"/>
              <w:jc w:val="center"/>
            </w:pPr>
            <w:r w:rsidRPr="00EB08FF">
              <w:rPr>
                <w:noProof/>
                <w:sz w:val="16"/>
                <w:szCs w:val="16"/>
                <w:lang w:val="it-IT"/>
              </w:rPr>
              <w:drawing>
                <wp:anchor distT="0" distB="0" distL="114300" distR="114300" simplePos="0" relativeHeight="251664384" behindDoc="0" locked="0" layoutInCell="1" allowOverlap="1" wp14:anchorId="6AB0CAC4" wp14:editId="1B5FB08D">
                  <wp:simplePos x="0" y="0"/>
                  <wp:positionH relativeFrom="column">
                    <wp:posOffset>-50800</wp:posOffset>
                  </wp:positionH>
                  <wp:positionV relativeFrom="paragraph">
                    <wp:posOffset>12065</wp:posOffset>
                  </wp:positionV>
                  <wp:extent cx="1534538" cy="484360"/>
                  <wp:effectExtent l="0" t="0" r="0" b="0"/>
                  <wp:wrapSquare wrapText="bothSides"/>
                  <wp:docPr id="6" name="Picture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r w:rsidR="00575269">
              <w:rPr>
                <w:noProof/>
                <w:sz w:val="16"/>
                <w:szCs w:val="16"/>
                <w:lang w:val="it-IT"/>
              </w:rPr>
              <w:drawing>
                <wp:inline distT="0" distB="0" distL="0" distR="0">
                  <wp:extent cx="1094372" cy="386715"/>
                  <wp:effectExtent l="0" t="0" r="0" b="0"/>
                  <wp:docPr id="1073741830" name="officeArt object" descr="Picture 4"/>
                  <wp:cNvGraphicFramePr/>
                  <a:graphic xmlns:a="http://schemas.openxmlformats.org/drawingml/2006/main">
                    <a:graphicData uri="http://schemas.openxmlformats.org/drawingml/2006/picture">
                      <pic:pic xmlns:pic="http://schemas.openxmlformats.org/drawingml/2006/picture">
                        <pic:nvPicPr>
                          <pic:cNvPr id="1073741830" name="Picture 4" descr="Picture 4"/>
                          <pic:cNvPicPr>
                            <a:picLocks noChangeAspect="1"/>
                          </pic:cNvPicPr>
                        </pic:nvPicPr>
                        <pic:blipFill>
                          <a:blip r:embed="rId14">
                            <a:extLst/>
                          </a:blip>
                          <a:srcRect b="14548"/>
                          <a:stretch>
                            <a:fillRect/>
                          </a:stretch>
                        </pic:blipFill>
                        <pic:spPr>
                          <a:xfrm>
                            <a:off x="0" y="0"/>
                            <a:ext cx="1094372" cy="386715"/>
                          </a:xfrm>
                          <a:prstGeom prst="rect">
                            <a:avLst/>
                          </a:prstGeom>
                          <a:ln w="12700" cap="flat">
                            <a:noFill/>
                            <a:miter lim="400000"/>
                          </a:ln>
                          <a:effectLst/>
                        </pic:spPr>
                      </pic:pic>
                    </a:graphicData>
                  </a:graphic>
                </wp:inline>
              </w:drawing>
            </w:r>
          </w:p>
        </w:tc>
      </w:tr>
    </w:tbl>
    <w:p w:rsidR="00902C6E" w:rsidRDefault="00902C6E">
      <w:pPr>
        <w:widowControl w:val="0"/>
        <w:spacing w:line="240" w:lineRule="auto"/>
        <w:jc w:val="center"/>
        <w:rPr>
          <w:sz w:val="16"/>
          <w:szCs w:val="16"/>
          <w:lang w:val="it-IT"/>
        </w:rPr>
      </w:pPr>
    </w:p>
    <w:p w:rsidR="00902C6E" w:rsidRDefault="00575269">
      <w:pPr>
        <w:rPr>
          <w:sz w:val="16"/>
          <w:szCs w:val="16"/>
          <w:lang w:val="it-IT"/>
        </w:rPr>
      </w:pPr>
      <w:r>
        <w:rPr>
          <w:noProof/>
          <w:lang w:val="it-IT"/>
        </w:rPr>
        <w:drawing>
          <wp:anchor distT="57150" distB="57150" distL="57150" distR="57150" simplePos="0" relativeHeight="251659264" behindDoc="0" locked="0" layoutInCell="1" allowOverlap="1">
            <wp:simplePos x="0" y="0"/>
            <wp:positionH relativeFrom="margin">
              <wp:posOffset>-906144</wp:posOffset>
            </wp:positionH>
            <wp:positionV relativeFrom="line">
              <wp:posOffset>132079</wp:posOffset>
            </wp:positionV>
            <wp:extent cx="1683386" cy="654050"/>
            <wp:effectExtent l="0" t="0" r="0" b="0"/>
            <wp:wrapThrough wrapText="bothSides" distL="57150" distR="57150">
              <wp:wrapPolygon edited="1">
                <wp:start x="0" y="0"/>
                <wp:lineTo x="0" y="21600"/>
                <wp:lineTo x="21602" y="21600"/>
                <wp:lineTo x="21602" y="0"/>
                <wp:lineTo x="0" y="0"/>
              </wp:wrapPolygon>
            </wp:wrapThrough>
            <wp:docPr id="1073741831" name="officeArt object" descr="D:\Users\Pictures\Erasmus+ cofunded.jpg"/>
            <wp:cNvGraphicFramePr/>
            <a:graphic xmlns:a="http://schemas.openxmlformats.org/drawingml/2006/main">
              <a:graphicData uri="http://schemas.openxmlformats.org/drawingml/2006/picture">
                <pic:pic xmlns:pic="http://schemas.openxmlformats.org/drawingml/2006/picture">
                  <pic:nvPicPr>
                    <pic:cNvPr id="1073741831" name="D:\Users\Pictures\Erasmus+ cofunded.jpg" descr="D:\Users\Pictures\Erasmus+ cofunded.jpg"/>
                    <pic:cNvPicPr>
                      <a:picLocks noChangeAspect="1"/>
                    </pic:cNvPicPr>
                  </pic:nvPicPr>
                  <pic:blipFill>
                    <a:blip r:embed="rId15">
                      <a:extLst/>
                    </a:blip>
                    <a:srcRect/>
                    <a:stretch>
                      <a:fillRect/>
                    </a:stretch>
                  </pic:blipFill>
                  <pic:spPr>
                    <a:xfrm>
                      <a:off x="0" y="0"/>
                      <a:ext cx="1683386" cy="654050"/>
                    </a:xfrm>
                    <a:prstGeom prst="rect">
                      <a:avLst/>
                    </a:prstGeom>
                    <a:ln w="12700" cap="flat">
                      <a:noFill/>
                      <a:miter lim="400000"/>
                    </a:ln>
                    <a:effectLst/>
                  </pic:spPr>
                </pic:pic>
              </a:graphicData>
            </a:graphic>
          </wp:anchor>
        </w:drawing>
      </w:r>
    </w:p>
    <w:p w:rsidR="00902C6E" w:rsidRDefault="00575269">
      <w:pPr>
        <w:sectPr w:rsidR="00902C6E">
          <w:headerReference w:type="default" r:id="rId16"/>
          <w:footerReference w:type="default" r:id="rId17"/>
          <w:headerReference w:type="first" r:id="rId18"/>
          <w:footerReference w:type="first" r:id="rId19"/>
          <w:pgSz w:w="11900" w:h="16840"/>
          <w:pgMar w:top="1440" w:right="1440" w:bottom="1440" w:left="1440" w:header="708" w:footer="478" w:gutter="0"/>
          <w:pgNumType w:start="0"/>
          <w:cols w:space="720"/>
          <w:titlePg/>
        </w:sectPr>
      </w:pPr>
      <w:r>
        <w:rPr>
          <w:rFonts w:ascii="Calibri Light" w:hAnsi="Calibri Light"/>
          <w:sz w:val="16"/>
          <w:szCs w:val="16"/>
          <w:lang w:val="fr-FR"/>
        </w:rPr>
        <w:t>Le soutien de la Commission europ</w:t>
      </w:r>
      <w:r>
        <w:rPr>
          <w:rFonts w:ascii="Calibri Light" w:hAnsi="Calibri Light"/>
          <w:sz w:val="16"/>
          <w:szCs w:val="16"/>
          <w:lang w:val="fr-FR"/>
        </w:rPr>
        <w:t>é</w:t>
      </w:r>
      <w:r>
        <w:rPr>
          <w:rFonts w:ascii="Calibri Light" w:hAnsi="Calibri Light"/>
          <w:sz w:val="16"/>
          <w:szCs w:val="16"/>
          <w:lang w:val="fr-FR"/>
        </w:rPr>
        <w:t xml:space="preserve">enne </w:t>
      </w:r>
      <w:r>
        <w:rPr>
          <w:rFonts w:ascii="Calibri Light" w:hAnsi="Calibri Light"/>
          <w:sz w:val="16"/>
          <w:szCs w:val="16"/>
          <w:lang w:val="fr-FR"/>
        </w:rPr>
        <w:t xml:space="preserve">à </w:t>
      </w:r>
      <w:r>
        <w:rPr>
          <w:rFonts w:ascii="Calibri Light" w:hAnsi="Calibri Light"/>
          <w:sz w:val="16"/>
          <w:szCs w:val="16"/>
          <w:lang w:val="fr-FR"/>
        </w:rPr>
        <w:t xml:space="preserve">la production de cette publication ne constitue pas une approbation de son contenu, qui n'engage que ses auteurs, et la Commission ne peut </w:t>
      </w:r>
      <w:r>
        <w:rPr>
          <w:rFonts w:ascii="Calibri Light" w:hAnsi="Calibri Light"/>
          <w:sz w:val="16"/>
          <w:szCs w:val="16"/>
          <w:lang w:val="fr-FR"/>
        </w:rPr>
        <w:t>ê</w:t>
      </w:r>
      <w:r>
        <w:rPr>
          <w:rFonts w:ascii="Calibri Light" w:hAnsi="Calibri Light"/>
          <w:sz w:val="16"/>
          <w:szCs w:val="16"/>
          <w:lang w:val="fr-FR"/>
        </w:rPr>
        <w:t xml:space="preserve">tre tenue responsable de l'usage qui pourrait </w:t>
      </w:r>
      <w:r>
        <w:rPr>
          <w:rFonts w:ascii="Calibri Light" w:hAnsi="Calibri Light"/>
          <w:sz w:val="16"/>
          <w:szCs w:val="16"/>
          <w:lang w:val="fr-FR"/>
        </w:rPr>
        <w:t>ê</w:t>
      </w:r>
      <w:r>
        <w:rPr>
          <w:rFonts w:ascii="Calibri Light" w:hAnsi="Calibri Light"/>
          <w:sz w:val="16"/>
          <w:szCs w:val="16"/>
          <w:lang w:val="fr-FR"/>
        </w:rPr>
        <w:t>tre fait des informations qu'elle contient. Num</w:t>
      </w:r>
      <w:r>
        <w:rPr>
          <w:rFonts w:ascii="Calibri Light" w:hAnsi="Calibri Light"/>
          <w:sz w:val="16"/>
          <w:szCs w:val="16"/>
          <w:lang w:val="fr-FR"/>
        </w:rPr>
        <w:t>é</w:t>
      </w:r>
      <w:r>
        <w:rPr>
          <w:rFonts w:ascii="Calibri Light" w:hAnsi="Calibri Light"/>
          <w:sz w:val="16"/>
          <w:szCs w:val="16"/>
          <w:lang w:val="fr-FR"/>
        </w:rPr>
        <w:t xml:space="preserve">ro de projet </w:t>
      </w:r>
      <w:r>
        <w:rPr>
          <w:rFonts w:eastAsia="Arial Unicode MS" w:cs="Arial Unicode MS"/>
          <w:sz w:val="16"/>
          <w:szCs w:val="16"/>
          <w:lang w:val="it-IT"/>
        </w:rPr>
        <w:t>: 2020-1</w:t>
      </w:r>
      <w:r>
        <w:rPr>
          <w:rFonts w:eastAsia="Arial Unicode MS" w:cs="Arial Unicode MS"/>
          <w:sz w:val="16"/>
          <w:szCs w:val="16"/>
          <w:lang w:val="it-IT"/>
        </w:rPr>
        <w:t>-DE02-KA204-007679.</w:t>
      </w:r>
    </w:p>
    <w:p w:rsidR="00902C6E" w:rsidRDefault="00902C6E">
      <w:pPr>
        <w:rPr>
          <w:lang w:val="it-IT"/>
        </w:rPr>
      </w:pPr>
      <w:bookmarkStart w:id="1" w:name="_Hlk13583558"/>
      <w:bookmarkEnd w:id="1"/>
    </w:p>
    <w:p w:rsidR="00902C6E" w:rsidRDefault="00575269">
      <w:pPr>
        <w:spacing w:line="259" w:lineRule="auto"/>
        <w:rPr>
          <w:lang w:val="it-IT"/>
        </w:rPr>
      </w:pPr>
      <w:bookmarkStart w:id="2" w:name="_Hlk115357320"/>
      <w:r>
        <w:rPr>
          <w:lang w:val="it-IT"/>
        </w:rPr>
        <w:t xml:space="preserve">Le présent Manuel du Module 1 fait partie du projet MIG-DHL, composé de 6 modules d’apprentissage au total, développés dans le cadre du partenariat stratégique Erasmus+ </w:t>
      </w:r>
      <w:r>
        <w:rPr>
          <w:b/>
          <w:bCs/>
          <w:lang w:val="it-IT"/>
        </w:rPr>
        <w:t xml:space="preserve">MIG-DHL- Migrants Digital Health Literacy </w:t>
      </w:r>
      <w:r>
        <w:rPr>
          <w:lang w:val="it-IT"/>
        </w:rPr>
        <w:t>[Programme visant l’éduc</w:t>
      </w:r>
      <w:r>
        <w:rPr>
          <w:lang w:val="it-IT"/>
        </w:rPr>
        <w:t>ation des migrants en matière de santé numérique]</w:t>
      </w:r>
      <w:bookmarkEnd w:id="2"/>
      <w:r>
        <w:rPr>
          <w:lang w:val="it-IT"/>
        </w:rPr>
        <w:t>.</w:t>
      </w:r>
    </w:p>
    <w:p w:rsidR="00902C6E" w:rsidRDefault="00575269">
      <w:pPr>
        <w:pStyle w:val="Titolosommario"/>
        <w:pBdr>
          <w:bottom w:val="single" w:sz="4" w:space="0" w:color="C00000"/>
        </w:pBdr>
        <w:spacing w:before="100" w:after="480"/>
        <w:ind w:left="432" w:hanging="432"/>
        <w:jc w:val="both"/>
        <w:rPr>
          <w:lang w:val="it-IT"/>
        </w:rPr>
      </w:pPr>
      <w:r>
        <w:rPr>
          <w:lang w:val="it-IT"/>
        </w:rPr>
        <w:t xml:space="preserve">Le contenu de la formation en </w:t>
      </w:r>
      <w:proofErr w:type="gramStart"/>
      <w:r>
        <w:rPr>
          <w:lang w:val="it-IT"/>
        </w:rPr>
        <w:t>résumé :</w:t>
      </w:r>
      <w:proofErr w:type="gramEnd"/>
    </w:p>
    <w:tbl>
      <w:tblPr>
        <w:tblStyle w:val="TableNormal"/>
        <w:tblW w:w="86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8647"/>
      </w:tblGrid>
      <w:tr w:rsidR="00902C6E">
        <w:tblPrEx>
          <w:tblCellMar>
            <w:top w:w="0" w:type="dxa"/>
            <w:left w:w="0" w:type="dxa"/>
            <w:bottom w:w="0" w:type="dxa"/>
            <w:right w:w="0" w:type="dxa"/>
          </w:tblCellMar>
        </w:tblPrEx>
        <w:trPr>
          <w:trHeight w:val="563"/>
          <w:jc w:val="center"/>
        </w:trPr>
        <w:tc>
          <w:tcPr>
            <w:tcW w:w="8647" w:type="dxa"/>
            <w:tcBorders>
              <w:top w:val="nil"/>
              <w:left w:val="nil"/>
              <w:bottom w:val="single" w:sz="18" w:space="0" w:color="FFFFFF"/>
              <w:right w:val="nil"/>
            </w:tcBorders>
            <w:shd w:val="clear" w:color="auto" w:fill="auto"/>
            <w:tcMar>
              <w:top w:w="80" w:type="dxa"/>
              <w:left w:w="80" w:type="dxa"/>
              <w:bottom w:w="80" w:type="dxa"/>
              <w:right w:w="80" w:type="dxa"/>
            </w:tcMar>
            <w:vAlign w:val="center"/>
          </w:tcPr>
          <w:p w:rsidR="00902C6E" w:rsidRDefault="00575269">
            <w:r>
              <w:rPr>
                <w:b/>
                <w:bCs/>
                <w:color w:val="1A1364"/>
                <w:u w:color="1A1364"/>
                <w:lang w:val="fr-FR"/>
              </w:rPr>
              <w:t>Projet MIG-DHL</w:t>
            </w:r>
          </w:p>
        </w:tc>
      </w:tr>
      <w:tr w:rsidR="00902C6E">
        <w:tblPrEx>
          <w:tblCellMar>
            <w:top w:w="0" w:type="dxa"/>
            <w:left w:w="0" w:type="dxa"/>
            <w:bottom w:w="0" w:type="dxa"/>
            <w:right w:w="0" w:type="dxa"/>
          </w:tblCellMar>
        </w:tblPrEx>
        <w:trPr>
          <w:trHeight w:val="580"/>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80" w:type="dxa"/>
              <w:left w:w="80" w:type="dxa"/>
              <w:bottom w:w="80" w:type="dxa"/>
              <w:right w:w="80" w:type="dxa"/>
            </w:tcMar>
            <w:vAlign w:val="center"/>
          </w:tcPr>
          <w:p w:rsidR="00902C6E" w:rsidRDefault="00575269">
            <w:pPr>
              <w:pStyle w:val="Testonormale"/>
              <w:jc w:val="left"/>
            </w:pPr>
            <w:r>
              <w:rPr>
                <w:b/>
                <w:bCs/>
                <w:color w:val="FFFFFF"/>
                <w:u w:color="FFFFFF"/>
                <w:lang w:val="fr-FR"/>
              </w:rPr>
              <w:t>Module 1 : Qu</w:t>
            </w:r>
            <w:r>
              <w:rPr>
                <w:b/>
                <w:bCs/>
                <w:color w:val="FFFFFF"/>
                <w:u w:color="FFFFFF"/>
                <w:lang w:val="fr-FR"/>
              </w:rPr>
              <w:t>’</w:t>
            </w:r>
            <w:r>
              <w:rPr>
                <w:b/>
                <w:bCs/>
                <w:color w:val="FFFFFF"/>
                <w:u w:color="FFFFFF"/>
                <w:lang w:val="fr-FR"/>
              </w:rPr>
              <w:t>est-ce que l</w:t>
            </w:r>
            <w:r>
              <w:rPr>
                <w:b/>
                <w:bCs/>
                <w:color w:val="FFFFFF"/>
                <w:u w:color="FFFFFF"/>
                <w:lang w:val="fr-FR"/>
              </w:rPr>
              <w:t>’é</w:t>
            </w:r>
            <w:r>
              <w:rPr>
                <w:b/>
                <w:bCs/>
                <w:color w:val="FFFFFF"/>
                <w:u w:color="FFFFFF"/>
                <w:lang w:val="fr-FR"/>
              </w:rPr>
              <w:t>ducation en mati</w:t>
            </w:r>
            <w:r>
              <w:rPr>
                <w:b/>
                <w:bCs/>
                <w:color w:val="FFFFFF"/>
                <w:u w:color="FFFFFF"/>
                <w:lang w:val="fr-FR"/>
              </w:rPr>
              <w:t>è</w:t>
            </w:r>
            <w:r>
              <w:rPr>
                <w:b/>
                <w:bCs/>
                <w:color w:val="FFFFFF"/>
                <w:u w:color="FFFFFF"/>
                <w:lang w:val="fr-FR"/>
              </w:rPr>
              <w:t>re de sant</w:t>
            </w:r>
            <w:r>
              <w:rPr>
                <w:b/>
                <w:bCs/>
                <w:color w:val="FFFFFF"/>
                <w:u w:color="FFFFFF"/>
                <w:lang w:val="fr-FR"/>
              </w:rPr>
              <w:t xml:space="preserve">é </w:t>
            </w:r>
            <w:r>
              <w:rPr>
                <w:b/>
                <w:bCs/>
                <w:color w:val="FFFFFF"/>
                <w:u w:color="FFFFFF"/>
                <w:lang w:val="fr-FR"/>
              </w:rPr>
              <w:t>[Digital Health Literacy], et pourquoi est-ce important ?</w:t>
            </w:r>
          </w:p>
        </w:tc>
      </w:tr>
      <w:tr w:rsidR="00902C6E">
        <w:tblPrEx>
          <w:tblCellMar>
            <w:top w:w="0" w:type="dxa"/>
            <w:left w:w="0" w:type="dxa"/>
            <w:bottom w:w="0" w:type="dxa"/>
            <w:right w:w="0" w:type="dxa"/>
          </w:tblCellMar>
        </w:tblPrEx>
        <w:trPr>
          <w:trHeight w:val="392"/>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80" w:type="dxa"/>
              <w:left w:w="80" w:type="dxa"/>
              <w:bottom w:w="80" w:type="dxa"/>
              <w:right w:w="80" w:type="dxa"/>
            </w:tcMar>
            <w:vAlign w:val="center"/>
          </w:tcPr>
          <w:p w:rsidR="00902C6E" w:rsidRDefault="00575269">
            <w:pPr>
              <w:pStyle w:val="Testonormale"/>
              <w:jc w:val="left"/>
            </w:pPr>
            <w:r>
              <w:rPr>
                <w:rFonts w:ascii="Arial" w:hAnsi="Arial"/>
                <w:color w:val="FFFFFF"/>
                <w:u w:color="FFFFFF"/>
                <w:lang w:val="it-IT"/>
              </w:rPr>
              <w:t xml:space="preserve">Module </w:t>
            </w:r>
            <w:proofErr w:type="gramStart"/>
            <w:r>
              <w:rPr>
                <w:rFonts w:ascii="Arial" w:hAnsi="Arial"/>
                <w:color w:val="FFFFFF"/>
                <w:u w:color="FFFFFF"/>
                <w:lang w:val="it-IT"/>
              </w:rPr>
              <w:t>2 :</w:t>
            </w:r>
            <w:proofErr w:type="gramEnd"/>
            <w:r>
              <w:rPr>
                <w:rFonts w:ascii="Arial" w:hAnsi="Arial"/>
                <w:color w:val="FFFFFF"/>
                <w:u w:color="FFFFFF"/>
                <w:lang w:val="it-IT"/>
              </w:rPr>
              <w:t xml:space="preserve"> Les principaux </w:t>
            </w:r>
            <w:r>
              <w:rPr>
                <w:rFonts w:ascii="Arial" w:hAnsi="Arial"/>
                <w:color w:val="FFFFFF"/>
                <w:u w:color="FFFFFF"/>
                <w:lang w:val="it-IT"/>
              </w:rPr>
              <w:t>probl</w:t>
            </w:r>
            <w:r>
              <w:rPr>
                <w:rFonts w:ascii="Arial" w:hAnsi="Arial"/>
                <w:color w:val="FFFFFF"/>
                <w:u w:color="FFFFFF"/>
                <w:lang w:val="it-IT"/>
              </w:rPr>
              <w:t>è</w:t>
            </w:r>
            <w:r>
              <w:rPr>
                <w:rFonts w:ascii="Arial" w:hAnsi="Arial"/>
                <w:color w:val="FFFFFF"/>
                <w:u w:color="FFFFFF"/>
                <w:lang w:val="it-IT"/>
              </w:rPr>
              <w:t>mes de sant</w:t>
            </w:r>
            <w:r>
              <w:rPr>
                <w:rFonts w:ascii="Arial" w:hAnsi="Arial"/>
                <w:color w:val="FFFFFF"/>
                <w:u w:color="FFFFFF"/>
                <w:lang w:val="it-IT"/>
              </w:rPr>
              <w:t xml:space="preserve">é à </w:t>
            </w:r>
            <w:r>
              <w:rPr>
                <w:rFonts w:ascii="Arial" w:hAnsi="Arial"/>
                <w:color w:val="FFFFFF"/>
                <w:u w:color="FFFFFF"/>
                <w:lang w:val="it-IT"/>
              </w:rPr>
              <w:t>l'arriv</w:t>
            </w:r>
            <w:r>
              <w:rPr>
                <w:rFonts w:ascii="Arial" w:hAnsi="Arial"/>
                <w:color w:val="FFFFFF"/>
                <w:u w:color="FFFFFF"/>
                <w:lang w:val="it-IT"/>
              </w:rPr>
              <w:t>é</w:t>
            </w:r>
            <w:r>
              <w:rPr>
                <w:rFonts w:ascii="Arial" w:hAnsi="Arial"/>
                <w:color w:val="FFFFFF"/>
                <w:u w:color="FFFFFF"/>
                <w:lang w:val="it-IT"/>
              </w:rPr>
              <w:t>e dans un nouveau pays</w:t>
            </w:r>
          </w:p>
        </w:tc>
      </w:tr>
      <w:tr w:rsidR="00902C6E">
        <w:tblPrEx>
          <w:tblCellMar>
            <w:top w:w="0" w:type="dxa"/>
            <w:left w:w="0" w:type="dxa"/>
            <w:bottom w:w="0" w:type="dxa"/>
            <w:right w:w="0" w:type="dxa"/>
          </w:tblCellMar>
        </w:tblPrEx>
        <w:trPr>
          <w:trHeight w:val="392"/>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80" w:type="dxa"/>
              <w:left w:w="80" w:type="dxa"/>
              <w:bottom w:w="80" w:type="dxa"/>
              <w:right w:w="80" w:type="dxa"/>
            </w:tcMar>
            <w:vAlign w:val="center"/>
          </w:tcPr>
          <w:p w:rsidR="00902C6E" w:rsidRDefault="00575269">
            <w:pPr>
              <w:pStyle w:val="Testonormale"/>
              <w:jc w:val="left"/>
            </w:pPr>
            <w:r>
              <w:rPr>
                <w:rFonts w:ascii="Arial" w:hAnsi="Arial"/>
                <w:color w:val="FFFFFF"/>
                <w:u w:color="FFFFFF"/>
                <w:lang w:val="it-IT"/>
              </w:rPr>
              <w:t xml:space="preserve">Module </w:t>
            </w:r>
            <w:proofErr w:type="gramStart"/>
            <w:r>
              <w:rPr>
                <w:rFonts w:ascii="Arial" w:hAnsi="Arial"/>
                <w:color w:val="FFFFFF"/>
                <w:u w:color="FFFFFF"/>
                <w:lang w:val="it-IT"/>
              </w:rPr>
              <w:t>3 :</w:t>
            </w:r>
            <w:proofErr w:type="gramEnd"/>
            <w:r>
              <w:rPr>
                <w:rFonts w:ascii="Arial" w:hAnsi="Arial"/>
                <w:color w:val="FFFFFF"/>
                <w:u w:color="FFFFFF"/>
                <w:lang w:val="it-IT"/>
              </w:rPr>
              <w:t xml:space="preserve"> Les services nationaux de sant</w:t>
            </w:r>
            <w:r>
              <w:rPr>
                <w:rFonts w:ascii="Arial" w:hAnsi="Arial"/>
                <w:color w:val="FFFFFF"/>
                <w:u w:color="FFFFFF"/>
                <w:lang w:val="it-IT"/>
              </w:rPr>
              <w:t>é</w:t>
            </w:r>
          </w:p>
        </w:tc>
      </w:tr>
      <w:tr w:rsidR="00902C6E">
        <w:tblPrEx>
          <w:tblCellMar>
            <w:top w:w="0" w:type="dxa"/>
            <w:left w:w="0" w:type="dxa"/>
            <w:bottom w:w="0" w:type="dxa"/>
            <w:right w:w="0" w:type="dxa"/>
          </w:tblCellMar>
        </w:tblPrEx>
        <w:trPr>
          <w:trHeight w:val="392"/>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80" w:type="dxa"/>
              <w:left w:w="80" w:type="dxa"/>
              <w:bottom w:w="80" w:type="dxa"/>
              <w:right w:w="80" w:type="dxa"/>
            </w:tcMar>
            <w:vAlign w:val="center"/>
          </w:tcPr>
          <w:p w:rsidR="00902C6E" w:rsidRDefault="00575269">
            <w:pPr>
              <w:pStyle w:val="Testonormale"/>
              <w:jc w:val="left"/>
            </w:pPr>
            <w:r>
              <w:rPr>
                <w:color w:val="FFFFFF"/>
                <w:u w:color="FFFFFF"/>
                <w:lang w:val="fr-FR"/>
              </w:rPr>
              <w:t>Module</w:t>
            </w:r>
            <w:r>
              <w:rPr>
                <w:rFonts w:ascii="Arial" w:hAnsi="Arial"/>
                <w:color w:val="FFFFFF"/>
                <w:u w:color="FFFFFF"/>
                <w:lang w:val="fr-FR"/>
              </w:rPr>
              <w:t xml:space="preserve"> 4 : D</w:t>
            </w:r>
            <w:r>
              <w:rPr>
                <w:rFonts w:ascii="Arial" w:hAnsi="Arial"/>
                <w:color w:val="FFFFFF"/>
                <w:u w:color="FFFFFF"/>
                <w:lang w:val="fr-FR"/>
              </w:rPr>
              <w:t>é</w:t>
            </w:r>
            <w:r>
              <w:rPr>
                <w:rFonts w:ascii="Arial" w:hAnsi="Arial"/>
                <w:color w:val="FFFFFF"/>
                <w:u w:color="FFFFFF"/>
                <w:lang w:val="fr-FR"/>
              </w:rPr>
              <w:t>velopper ses connaissances num</w:t>
            </w:r>
            <w:r>
              <w:rPr>
                <w:rFonts w:ascii="Arial" w:hAnsi="Arial"/>
                <w:color w:val="FFFFFF"/>
                <w:u w:color="FFFFFF"/>
                <w:lang w:val="fr-FR"/>
              </w:rPr>
              <w:t>é</w:t>
            </w:r>
            <w:r>
              <w:rPr>
                <w:rFonts w:ascii="Arial" w:hAnsi="Arial"/>
                <w:color w:val="FFFFFF"/>
                <w:u w:color="FFFFFF"/>
                <w:lang w:val="fr-FR"/>
              </w:rPr>
              <w:t>rique</w:t>
            </w:r>
          </w:p>
        </w:tc>
      </w:tr>
      <w:tr w:rsidR="00902C6E">
        <w:tblPrEx>
          <w:tblCellMar>
            <w:top w:w="0" w:type="dxa"/>
            <w:left w:w="0" w:type="dxa"/>
            <w:bottom w:w="0" w:type="dxa"/>
            <w:right w:w="0" w:type="dxa"/>
          </w:tblCellMar>
        </w:tblPrEx>
        <w:trPr>
          <w:trHeight w:val="392"/>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80" w:type="dxa"/>
              <w:left w:w="80" w:type="dxa"/>
              <w:bottom w:w="80" w:type="dxa"/>
              <w:right w:w="80" w:type="dxa"/>
            </w:tcMar>
            <w:vAlign w:val="center"/>
          </w:tcPr>
          <w:p w:rsidR="00902C6E" w:rsidRDefault="00575269">
            <w:pPr>
              <w:pStyle w:val="Testonormale"/>
              <w:jc w:val="left"/>
            </w:pPr>
            <w:r>
              <w:rPr>
                <w:color w:val="FFFFFF"/>
                <w:u w:color="FFFFFF"/>
                <w:lang w:val="fr-FR"/>
              </w:rPr>
              <w:t>Module 5 : D</w:t>
            </w:r>
            <w:r>
              <w:rPr>
                <w:color w:val="FFFFFF"/>
                <w:u w:color="FFFFFF"/>
                <w:lang w:val="fr-FR"/>
              </w:rPr>
              <w:t>é</w:t>
            </w:r>
            <w:r>
              <w:rPr>
                <w:color w:val="FFFFFF"/>
                <w:u w:color="FFFFFF"/>
                <w:lang w:val="fr-FR"/>
              </w:rPr>
              <w:t>couvrir les outils de sant</w:t>
            </w:r>
            <w:r>
              <w:rPr>
                <w:color w:val="FFFFFF"/>
                <w:u w:color="FFFFFF"/>
                <w:lang w:val="fr-FR"/>
              </w:rPr>
              <w:t xml:space="preserve">é </w:t>
            </w:r>
            <w:r>
              <w:rPr>
                <w:color w:val="FFFFFF"/>
                <w:u w:color="FFFFFF"/>
                <w:lang w:val="fr-FR"/>
              </w:rPr>
              <w:t>num</w:t>
            </w:r>
            <w:r>
              <w:rPr>
                <w:color w:val="FFFFFF"/>
                <w:u w:color="FFFFFF"/>
                <w:lang w:val="fr-FR"/>
              </w:rPr>
              <w:t>é</w:t>
            </w:r>
            <w:r>
              <w:rPr>
                <w:color w:val="FFFFFF"/>
                <w:u w:color="FFFFFF"/>
                <w:lang w:val="fr-FR"/>
              </w:rPr>
              <w:t>rique</w:t>
            </w:r>
          </w:p>
        </w:tc>
      </w:tr>
      <w:tr w:rsidR="00902C6E">
        <w:tblPrEx>
          <w:tblCellMar>
            <w:top w:w="0" w:type="dxa"/>
            <w:left w:w="0" w:type="dxa"/>
            <w:bottom w:w="0" w:type="dxa"/>
            <w:right w:w="0" w:type="dxa"/>
          </w:tblCellMar>
        </w:tblPrEx>
        <w:trPr>
          <w:trHeight w:val="392"/>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80" w:type="dxa"/>
              <w:left w:w="80" w:type="dxa"/>
              <w:bottom w:w="80" w:type="dxa"/>
              <w:right w:w="80" w:type="dxa"/>
            </w:tcMar>
            <w:vAlign w:val="center"/>
          </w:tcPr>
          <w:p w:rsidR="00902C6E" w:rsidRDefault="00575269">
            <w:pPr>
              <w:pStyle w:val="Testonormale"/>
              <w:jc w:val="left"/>
            </w:pPr>
            <w:r>
              <w:rPr>
                <w:color w:val="FFFFFF"/>
                <w:u w:color="FFFFFF"/>
                <w:lang w:val="fr-FR"/>
              </w:rPr>
              <w:t xml:space="preserve">Module 6 : </w:t>
            </w:r>
            <w:r>
              <w:rPr>
                <w:color w:val="FFFFFF"/>
                <w:u w:color="FFFFFF"/>
                <w:lang w:val="fr-FR"/>
              </w:rPr>
              <w:t>Ê</w:t>
            </w:r>
            <w:r>
              <w:rPr>
                <w:color w:val="FFFFFF"/>
                <w:u w:color="FFFFFF"/>
                <w:lang w:val="fr-FR"/>
              </w:rPr>
              <w:t>tre actif dans l</w:t>
            </w:r>
            <w:r>
              <w:rPr>
                <w:color w:val="FFFFFF"/>
                <w:u w:color="FFFFFF"/>
                <w:lang w:val="fr-FR"/>
              </w:rPr>
              <w:t>’</w:t>
            </w:r>
            <w:r>
              <w:rPr>
                <w:color w:val="FFFFFF"/>
                <w:u w:color="FFFFFF"/>
                <w:lang w:val="fr-FR"/>
              </w:rPr>
              <w:t>environnement de la sant</w:t>
            </w:r>
            <w:r>
              <w:rPr>
                <w:color w:val="FFFFFF"/>
                <w:u w:color="FFFFFF"/>
                <w:lang w:val="fr-FR"/>
              </w:rPr>
              <w:t xml:space="preserve">é </w:t>
            </w:r>
            <w:r>
              <w:rPr>
                <w:color w:val="FFFFFF"/>
                <w:u w:color="FFFFFF"/>
                <w:lang w:val="fr-FR"/>
              </w:rPr>
              <w:t>num</w:t>
            </w:r>
            <w:r>
              <w:rPr>
                <w:color w:val="FFFFFF"/>
                <w:u w:color="FFFFFF"/>
                <w:lang w:val="fr-FR"/>
              </w:rPr>
              <w:t>é</w:t>
            </w:r>
            <w:r>
              <w:rPr>
                <w:color w:val="FFFFFF"/>
                <w:u w:color="FFFFFF"/>
                <w:lang w:val="fr-FR"/>
              </w:rPr>
              <w:t>rique</w:t>
            </w:r>
          </w:p>
        </w:tc>
      </w:tr>
    </w:tbl>
    <w:p w:rsidR="00902C6E" w:rsidRDefault="00902C6E">
      <w:pPr>
        <w:pStyle w:val="Titolosommario"/>
        <w:widowControl w:val="0"/>
        <w:spacing w:before="100" w:after="480" w:line="240" w:lineRule="auto"/>
        <w:jc w:val="center"/>
        <w:rPr>
          <w:lang w:val="it-IT"/>
        </w:rPr>
      </w:pPr>
    </w:p>
    <w:p w:rsidR="00902C6E" w:rsidRDefault="00575269">
      <w:pPr>
        <w:pStyle w:val="Di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before="0" w:after="160" w:line="360" w:lineRule="auto"/>
        <w:jc w:val="both"/>
        <w:rPr>
          <w:rStyle w:val="Hyperlink0"/>
          <w:rFonts w:ascii="Calibri" w:eastAsia="Calibri" w:hAnsi="Calibri" w:cs="Calibri"/>
          <w:kern w:val="3"/>
          <w:u w:color="000000"/>
        </w:rPr>
      </w:pPr>
      <w:r>
        <w:rPr>
          <w:rFonts w:ascii="Calibri" w:hAnsi="Calibri"/>
          <w:kern w:val="3"/>
          <w:sz w:val="22"/>
          <w:szCs w:val="22"/>
          <w:u w:color="000000"/>
        </w:rPr>
        <w:t>De plus amples informations sont disponibles sur le site</w:t>
      </w:r>
      <w:r>
        <w:rPr>
          <w:rFonts w:ascii="Calibri" w:hAnsi="Calibri"/>
          <w:kern w:val="3"/>
          <w:sz w:val="22"/>
          <w:szCs w:val="22"/>
          <w:u w:color="000000"/>
        </w:rPr>
        <w:t> </w:t>
      </w:r>
      <w:r>
        <w:rPr>
          <w:rFonts w:ascii="Calibri" w:hAnsi="Calibri"/>
          <w:kern w:val="3"/>
          <w:sz w:val="22"/>
          <w:szCs w:val="22"/>
          <w:u w:color="000000"/>
        </w:rPr>
        <w:t>:</w:t>
      </w:r>
      <w:r>
        <w:rPr>
          <w:rFonts w:ascii="Calibri" w:hAnsi="Calibri"/>
          <w:color w:val="2E74B5"/>
          <w:kern w:val="3"/>
          <w:sz w:val="22"/>
          <w:szCs w:val="22"/>
          <w:u w:color="2E74B5"/>
        </w:rPr>
        <w:t xml:space="preserve"> </w:t>
      </w:r>
      <w:r>
        <w:rPr>
          <w:rFonts w:ascii="Calibri" w:hAnsi="Calibri"/>
          <w:kern w:val="3"/>
          <w:sz w:val="22"/>
          <w:szCs w:val="22"/>
          <w:u w:color="000000"/>
        </w:rPr>
        <w:t xml:space="preserve"> </w:t>
      </w:r>
      <w:hyperlink r:id="rId20" w:history="1">
        <w:r>
          <w:rPr>
            <w:rStyle w:val="Hyperlink0"/>
            <w:rFonts w:ascii="Calibri" w:hAnsi="Calibri"/>
            <w:kern w:val="3"/>
            <w:u w:color="000000"/>
          </w:rPr>
          <w:t>https://mig-dhl.eu/</w:t>
        </w:r>
      </w:hyperlink>
    </w:p>
    <w:p w:rsidR="00902C6E" w:rsidRDefault="00575269">
      <w:r>
        <w:rPr>
          <w:rStyle w:val="Nessuno"/>
          <w:rFonts w:ascii="Arial Unicode MS" w:eastAsia="Arial Unicode MS" w:hAnsi="Arial Unicode MS" w:cs="Arial Unicode MS"/>
          <w:lang w:val="it-IT"/>
        </w:rPr>
        <w:br w:type="page"/>
      </w:r>
    </w:p>
    <w:p w:rsidR="00902C6E" w:rsidRDefault="00902C6E">
      <w:pPr>
        <w:jc w:val="center"/>
        <w:rPr>
          <w:rStyle w:val="Nessuno"/>
          <w:lang w:val="it-IT"/>
        </w:rPr>
      </w:pPr>
      <w:bookmarkStart w:id="3" w:name="_Hlk18139512"/>
    </w:p>
    <w:p w:rsidR="00902C6E" w:rsidRDefault="00575269">
      <w:pPr>
        <w:pStyle w:val="Di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before="0" w:after="160" w:line="360" w:lineRule="auto"/>
        <w:jc w:val="center"/>
        <w:rPr>
          <w:rStyle w:val="Nessuno"/>
          <w:rFonts w:ascii="Calibri" w:eastAsia="Calibri" w:hAnsi="Calibri" w:cs="Calibri"/>
          <w:b/>
          <w:bCs/>
          <w:color w:val="002060"/>
          <w:kern w:val="3"/>
          <w:u w:color="002060"/>
          <w:lang w:val="it-IT"/>
        </w:rPr>
      </w:pPr>
      <w:r>
        <w:rPr>
          <w:rStyle w:val="Nessuno"/>
          <w:rFonts w:ascii="Calibri" w:hAnsi="Calibri"/>
          <w:b/>
          <w:bCs/>
          <w:color w:val="002060"/>
          <w:kern w:val="3"/>
          <w:u w:color="002060"/>
          <w:lang w:val="it-IT"/>
        </w:rPr>
        <w:t>D</w:t>
      </w:r>
      <w:r>
        <w:rPr>
          <w:rStyle w:val="Nessuno"/>
          <w:rFonts w:ascii="Calibri" w:hAnsi="Calibri"/>
          <w:b/>
          <w:bCs/>
          <w:color w:val="002060"/>
          <w:kern w:val="3"/>
          <w:u w:color="002060"/>
          <w:lang w:val="it-IT"/>
        </w:rPr>
        <w:t>é</w:t>
      </w:r>
      <w:r>
        <w:rPr>
          <w:rStyle w:val="Nessuno"/>
          <w:rFonts w:ascii="Calibri" w:hAnsi="Calibri"/>
          <w:b/>
          <w:bCs/>
          <w:color w:val="002060"/>
          <w:kern w:val="3"/>
          <w:u w:color="002060"/>
          <w:lang w:val="it-IT"/>
        </w:rPr>
        <w:t xml:space="preserve">claration sur les droits </w:t>
      </w:r>
      <w:proofErr w:type="gramStart"/>
      <w:r>
        <w:rPr>
          <w:rStyle w:val="Nessuno"/>
          <w:rFonts w:ascii="Calibri" w:hAnsi="Calibri"/>
          <w:b/>
          <w:bCs/>
          <w:color w:val="002060"/>
          <w:kern w:val="3"/>
          <w:u w:color="002060"/>
          <w:lang w:val="it-IT"/>
        </w:rPr>
        <w:t>d</w:t>
      </w:r>
      <w:r>
        <w:rPr>
          <w:rStyle w:val="Nessuno"/>
          <w:rFonts w:ascii="Calibri" w:hAnsi="Calibri"/>
          <w:b/>
          <w:bCs/>
          <w:color w:val="002060"/>
          <w:kern w:val="3"/>
          <w:u w:color="002060"/>
          <w:lang w:val="it-IT"/>
        </w:rPr>
        <w:t>’</w:t>
      </w:r>
      <w:r>
        <w:rPr>
          <w:rStyle w:val="Nessuno"/>
          <w:rFonts w:ascii="Calibri" w:hAnsi="Calibri"/>
          <w:b/>
          <w:bCs/>
          <w:color w:val="002060"/>
          <w:kern w:val="3"/>
          <w:u w:color="002060"/>
          <w:lang w:val="it-IT"/>
        </w:rPr>
        <w:t>auteur</w:t>
      </w:r>
      <w:r>
        <w:rPr>
          <w:rStyle w:val="Nessuno"/>
          <w:rFonts w:ascii="Calibri" w:hAnsi="Calibri"/>
          <w:b/>
          <w:bCs/>
          <w:color w:val="002060"/>
          <w:kern w:val="3"/>
          <w:u w:color="002060"/>
          <w:lang w:val="it-IT"/>
        </w:rPr>
        <w:t> </w:t>
      </w:r>
      <w:r>
        <w:rPr>
          <w:rStyle w:val="Nessuno"/>
          <w:rFonts w:ascii="Calibri" w:hAnsi="Calibri"/>
          <w:b/>
          <w:bCs/>
          <w:color w:val="002060"/>
          <w:kern w:val="3"/>
          <w:u w:color="002060"/>
          <w:lang w:val="it-IT"/>
        </w:rPr>
        <w:t>:</w:t>
      </w:r>
      <w:proofErr w:type="gramEnd"/>
    </w:p>
    <w:p w:rsidR="00902C6E" w:rsidRDefault="00575269">
      <w:pPr>
        <w:jc w:val="center"/>
        <w:rPr>
          <w:rStyle w:val="Nessuno"/>
          <w:b/>
          <w:bCs/>
          <w:color w:val="002060"/>
          <w:u w:color="002060"/>
          <w:lang w:val="it-IT"/>
        </w:rPr>
      </w:pPr>
      <w:r>
        <w:rPr>
          <w:rStyle w:val="Nessuno"/>
          <w:b/>
          <w:bCs/>
          <w:noProof/>
          <w:color w:val="002060"/>
          <w:u w:color="002060"/>
          <w:lang w:val="it-IT"/>
        </w:rPr>
        <w:drawing>
          <wp:inline distT="0" distB="0" distL="0" distR="0">
            <wp:extent cx="1406014" cy="492105"/>
            <wp:effectExtent l="0" t="0" r="0" b="0"/>
            <wp:docPr id="1073741834" name="officeArt object"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1073741834" name="Εικόνα που περιέχει κείμενο, clipartΠεριγραφή που δημιουργήθηκε αυτόματα" descr="Εικόνα που περιέχει κείμενο, clipartΠεριγραφή που δημιουργήθηκε αυτόματα"/>
                    <pic:cNvPicPr>
                      <a:picLocks noChangeAspect="1"/>
                    </pic:cNvPicPr>
                  </pic:nvPicPr>
                  <pic:blipFill>
                    <a:blip r:embed="rId21">
                      <a:extLst/>
                    </a:blip>
                    <a:stretch>
                      <a:fillRect/>
                    </a:stretch>
                  </pic:blipFill>
                  <pic:spPr>
                    <a:xfrm>
                      <a:off x="0" y="0"/>
                      <a:ext cx="1406014" cy="492105"/>
                    </a:xfrm>
                    <a:prstGeom prst="rect">
                      <a:avLst/>
                    </a:prstGeom>
                    <a:ln w="12700" cap="flat">
                      <a:noFill/>
                      <a:miter lim="400000"/>
                    </a:ln>
                    <a:effectLst/>
                  </pic:spPr>
                </pic:pic>
              </a:graphicData>
            </a:graphic>
          </wp:inline>
        </w:drawing>
      </w:r>
      <w:bookmarkEnd w:id="3"/>
    </w:p>
    <w:p w:rsidR="00902C6E" w:rsidRDefault="00575269">
      <w:pPr>
        <w:jc w:val="center"/>
        <w:rPr>
          <w:lang w:val="it-IT"/>
        </w:rPr>
      </w:pPr>
      <w:r>
        <w:rPr>
          <w:rStyle w:val="Nessuno"/>
          <w:lang w:val="it-IT"/>
        </w:rPr>
        <w:br/>
      </w:r>
      <w:r>
        <w:rPr>
          <w:rStyle w:val="Nessuno"/>
          <w:lang w:val="fr-FR"/>
        </w:rPr>
        <w:t xml:space="preserve">Ce support est sous licence internationale Creative Commons </w:t>
      </w:r>
      <w:r>
        <w:rPr>
          <w:rStyle w:val="Nessuno"/>
          <w:i/>
          <w:iCs/>
          <w:lang w:val="fr-FR"/>
        </w:rPr>
        <w:t xml:space="preserve">Attribution – </w:t>
      </w:r>
      <w:r>
        <w:rPr>
          <w:rStyle w:val="Nessuno"/>
          <w:i/>
          <w:iCs/>
          <w:lang w:val="fr-FR"/>
        </w:rPr>
        <w:t>Non commerciale – Partage dans les mêmes conditions</w:t>
      </w:r>
      <w:r>
        <w:rPr>
          <w:rStyle w:val="Nessuno"/>
          <w:lang w:val="fr-FR"/>
        </w:rPr>
        <w:t xml:space="preserve"> [Attribution-NonCommercial-ShareAlike] 4.0.</w:t>
      </w:r>
    </w:p>
    <w:p w:rsidR="00902C6E" w:rsidRDefault="00575269">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160" w:line="360" w:lineRule="auto"/>
        <w:jc w:val="center"/>
        <w:rPr>
          <w:rStyle w:val="Nessuno"/>
          <w:rFonts w:ascii="Calibri" w:eastAsia="Calibri" w:hAnsi="Calibri" w:cs="Calibri"/>
          <w:kern w:val="3"/>
          <w:sz w:val="24"/>
          <w:szCs w:val="24"/>
          <w:u w:color="000000"/>
        </w:rPr>
      </w:pPr>
      <w:r>
        <w:rPr>
          <w:rStyle w:val="Hyperlink0"/>
          <w:rFonts w:ascii="Calibri" w:hAnsi="Calibri"/>
          <w:kern w:val="3"/>
          <w:sz w:val="24"/>
          <w:szCs w:val="24"/>
          <w:u w:color="000000"/>
        </w:rPr>
        <w:t>Vous avez le droit de</w:t>
      </w:r>
      <w:r>
        <w:rPr>
          <w:rStyle w:val="Hyperlink0"/>
          <w:rFonts w:ascii="Calibri" w:hAnsi="Calibri"/>
          <w:kern w:val="3"/>
          <w:sz w:val="24"/>
          <w:szCs w:val="24"/>
          <w:u w:color="000000"/>
        </w:rPr>
        <w:t> </w:t>
      </w:r>
      <w:r>
        <w:rPr>
          <w:rStyle w:val="Hyperlink0"/>
          <w:rFonts w:ascii="Calibri" w:hAnsi="Calibri"/>
          <w:kern w:val="3"/>
          <w:sz w:val="24"/>
          <w:szCs w:val="24"/>
          <w:u w:color="000000"/>
        </w:rPr>
        <w:t>:</w:t>
      </w:r>
    </w:p>
    <w:p w:rsidR="00902C6E" w:rsidRDefault="00575269">
      <w:pPr>
        <w:pStyle w:val="Paragrafoelenco"/>
        <w:numPr>
          <w:ilvl w:val="0"/>
          <w:numId w:val="2"/>
        </w:numPr>
        <w:spacing w:before="100" w:after="200" w:line="312" w:lineRule="auto"/>
        <w:rPr>
          <w:kern w:val="3"/>
          <w:sz w:val="24"/>
          <w:szCs w:val="24"/>
          <w:lang w:val="fr-FR"/>
        </w:rPr>
      </w:pPr>
      <w:proofErr w:type="gramStart"/>
      <w:r>
        <w:rPr>
          <w:rStyle w:val="Hyperlink0"/>
          <w:kern w:val="3"/>
          <w:sz w:val="24"/>
          <w:szCs w:val="24"/>
        </w:rPr>
        <w:t>partager:</w:t>
      </w:r>
      <w:proofErr w:type="gramEnd"/>
      <w:r>
        <w:rPr>
          <w:rStyle w:val="Hyperlink0"/>
          <w:kern w:val="3"/>
          <w:sz w:val="24"/>
          <w:szCs w:val="24"/>
        </w:rPr>
        <w:t xml:space="preserve"> photocopier et redistribuer le support par tout moyen et sous toute forme</w:t>
      </w:r>
    </w:p>
    <w:p w:rsidR="00902C6E" w:rsidRDefault="00575269">
      <w:pPr>
        <w:pStyle w:val="Paragrafoelenco"/>
        <w:numPr>
          <w:ilvl w:val="0"/>
          <w:numId w:val="2"/>
        </w:numPr>
        <w:spacing w:before="100" w:after="200" w:line="312" w:lineRule="auto"/>
        <w:rPr>
          <w:kern w:val="3"/>
          <w:sz w:val="24"/>
          <w:szCs w:val="24"/>
          <w:lang w:val="fr-FR"/>
        </w:rPr>
      </w:pPr>
      <w:proofErr w:type="gramStart"/>
      <w:r>
        <w:rPr>
          <w:rStyle w:val="Hyperlink0"/>
          <w:kern w:val="3"/>
          <w:sz w:val="24"/>
          <w:szCs w:val="24"/>
        </w:rPr>
        <w:t>modifier</w:t>
      </w:r>
      <w:r>
        <w:rPr>
          <w:rStyle w:val="Hyperlink0"/>
          <w:kern w:val="3"/>
          <w:sz w:val="24"/>
          <w:szCs w:val="24"/>
          <w:lang w:val="it-IT"/>
        </w:rPr>
        <w:t>:</w:t>
      </w:r>
      <w:proofErr w:type="gramEnd"/>
      <w:r>
        <w:rPr>
          <w:rStyle w:val="Hyperlink0"/>
          <w:kern w:val="3"/>
          <w:sz w:val="24"/>
          <w:szCs w:val="24"/>
        </w:rPr>
        <w:t xml:space="preserve"> réorganiser, transformer et utiliser le </w:t>
      </w:r>
      <w:r>
        <w:rPr>
          <w:rStyle w:val="Hyperlink0"/>
          <w:kern w:val="3"/>
          <w:sz w:val="24"/>
          <w:szCs w:val="24"/>
        </w:rPr>
        <w:t>support comme base pour le développer</w:t>
      </w:r>
    </w:p>
    <w:p w:rsidR="00902C6E" w:rsidRDefault="00575269">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uppressAutoHyphens/>
        <w:spacing w:after="160" w:line="360" w:lineRule="auto"/>
        <w:jc w:val="both"/>
        <w:rPr>
          <w:rStyle w:val="Nessuno"/>
          <w:rFonts w:ascii="Calibri" w:eastAsia="Calibri" w:hAnsi="Calibri" w:cs="Calibri"/>
          <w:color w:val="262626"/>
          <w:kern w:val="3"/>
          <w:sz w:val="24"/>
          <w:szCs w:val="24"/>
          <w:u w:color="262626"/>
        </w:rPr>
      </w:pPr>
      <w:proofErr w:type="gramStart"/>
      <w:r>
        <w:rPr>
          <w:rStyle w:val="Nessuno"/>
          <w:rFonts w:ascii="Calibri" w:hAnsi="Calibri"/>
          <w:color w:val="262626"/>
          <w:kern w:val="3"/>
          <w:sz w:val="24"/>
          <w:szCs w:val="24"/>
          <w:u w:color="262626"/>
        </w:rPr>
        <w:t>dans</w:t>
      </w:r>
      <w:proofErr w:type="gramEnd"/>
      <w:r>
        <w:rPr>
          <w:rStyle w:val="Nessuno"/>
          <w:rFonts w:ascii="Calibri" w:hAnsi="Calibri"/>
          <w:color w:val="262626"/>
          <w:kern w:val="3"/>
          <w:sz w:val="24"/>
          <w:szCs w:val="24"/>
          <w:u w:color="262626"/>
        </w:rPr>
        <w:t xml:space="preserve"> le respect des conditions suivantes</w:t>
      </w:r>
      <w:r>
        <w:rPr>
          <w:rStyle w:val="Nessuno"/>
          <w:rFonts w:ascii="Calibri" w:hAnsi="Calibri"/>
          <w:color w:val="262626"/>
          <w:kern w:val="3"/>
          <w:sz w:val="24"/>
          <w:szCs w:val="24"/>
          <w:u w:color="262626"/>
        </w:rPr>
        <w:t> </w:t>
      </w:r>
      <w:r>
        <w:rPr>
          <w:rStyle w:val="Nessuno"/>
          <w:rFonts w:ascii="Calibri" w:hAnsi="Calibri"/>
          <w:color w:val="262626"/>
          <w:kern w:val="3"/>
          <w:sz w:val="24"/>
          <w:szCs w:val="24"/>
          <w:u w:color="262626"/>
        </w:rPr>
        <w:t>:</w:t>
      </w:r>
    </w:p>
    <w:p w:rsidR="00902C6E" w:rsidRDefault="00575269">
      <w:pPr>
        <w:pStyle w:val="Paragrafoelenco"/>
        <w:numPr>
          <w:ilvl w:val="0"/>
          <w:numId w:val="2"/>
        </w:numPr>
        <w:spacing w:before="100" w:after="200" w:line="312" w:lineRule="auto"/>
        <w:rPr>
          <w:kern w:val="3"/>
          <w:sz w:val="24"/>
          <w:szCs w:val="24"/>
          <w:lang w:val="fr-FR"/>
        </w:rPr>
      </w:pPr>
      <w:r>
        <w:rPr>
          <w:rStyle w:val="Nessuno"/>
          <w:kern w:val="3"/>
          <w:sz w:val="24"/>
          <w:szCs w:val="24"/>
          <w:u w:val="single"/>
          <w:lang w:val="fr-FR"/>
        </w:rPr>
        <w:t>Attribution</w:t>
      </w:r>
      <w:r>
        <w:rPr>
          <w:rStyle w:val="Hyperlink0"/>
          <w:kern w:val="3"/>
          <w:sz w:val="24"/>
          <w:szCs w:val="24"/>
        </w:rPr>
        <w:t> : Vous vous engagez à créditer comme il se doit ce support, à fournir un lien vers la licence et à indiquer tout changement effectué le cas échéant. Vous pouvez le</w:t>
      </w:r>
      <w:r>
        <w:rPr>
          <w:rStyle w:val="Hyperlink0"/>
          <w:kern w:val="3"/>
          <w:sz w:val="24"/>
          <w:szCs w:val="24"/>
        </w:rPr>
        <w:t xml:space="preserve"> faire dans les limites du raisonnable, mais vous ne pouvez en aucun cas laisser entendre que le concédant de la licence vous soutient, ni qu’il approuve votre utilisation de la licence.</w:t>
      </w:r>
    </w:p>
    <w:p w:rsidR="00902C6E" w:rsidRDefault="00575269">
      <w:pPr>
        <w:pStyle w:val="Paragrafoelenco"/>
        <w:numPr>
          <w:ilvl w:val="0"/>
          <w:numId w:val="2"/>
        </w:numPr>
        <w:spacing w:before="100" w:after="200" w:line="312" w:lineRule="auto"/>
        <w:rPr>
          <w:kern w:val="3"/>
          <w:sz w:val="24"/>
          <w:szCs w:val="24"/>
          <w:lang w:val="fr-FR"/>
        </w:rPr>
      </w:pPr>
      <w:r>
        <w:rPr>
          <w:rStyle w:val="Nessuno"/>
          <w:kern w:val="3"/>
          <w:sz w:val="24"/>
          <w:szCs w:val="24"/>
          <w:u w:val="single"/>
          <w:lang w:val="fr-FR"/>
        </w:rPr>
        <w:t>Non commerciale</w:t>
      </w:r>
      <w:r>
        <w:rPr>
          <w:rStyle w:val="Hyperlink0"/>
          <w:kern w:val="3"/>
          <w:sz w:val="24"/>
          <w:szCs w:val="24"/>
        </w:rPr>
        <w:t> : Vous ne pouvez pas utiliser le support à des fins c</w:t>
      </w:r>
      <w:r>
        <w:rPr>
          <w:rStyle w:val="Hyperlink0"/>
          <w:kern w:val="3"/>
          <w:sz w:val="24"/>
          <w:szCs w:val="24"/>
        </w:rPr>
        <w:t>ommerciales.</w:t>
      </w:r>
    </w:p>
    <w:p w:rsidR="00902C6E" w:rsidRDefault="00575269">
      <w:pPr>
        <w:pStyle w:val="Paragrafoelenco"/>
        <w:numPr>
          <w:ilvl w:val="0"/>
          <w:numId w:val="2"/>
        </w:numPr>
        <w:spacing w:before="100" w:after="200" w:line="312" w:lineRule="auto"/>
        <w:rPr>
          <w:kern w:val="3"/>
          <w:sz w:val="24"/>
          <w:szCs w:val="24"/>
          <w:lang w:val="fr-FR"/>
        </w:rPr>
      </w:pPr>
      <w:r>
        <w:rPr>
          <w:rStyle w:val="Nessuno"/>
          <w:kern w:val="3"/>
          <w:sz w:val="24"/>
          <w:szCs w:val="24"/>
          <w:u w:val="single"/>
          <w:lang w:val="fr-FR"/>
        </w:rPr>
        <w:t>Partage dans les mêmes conditions</w:t>
      </w:r>
      <w:r>
        <w:rPr>
          <w:rStyle w:val="Hyperlink0"/>
          <w:kern w:val="3"/>
          <w:sz w:val="24"/>
          <w:szCs w:val="24"/>
        </w:rPr>
        <w:t> : Si vous réorganisez, transformez ou utilisez le support comme base pour le développer, vous vous engagez à distribuer vos contributions sous la même licence que le support original.</w:t>
      </w:r>
    </w:p>
    <w:p w:rsidR="00902C6E" w:rsidRDefault="00902C6E">
      <w:pPr>
        <w:rPr>
          <w:rStyle w:val="Nessuno"/>
          <w:lang w:val="it-IT"/>
        </w:rPr>
      </w:pPr>
    </w:p>
    <w:p w:rsidR="00902C6E" w:rsidRDefault="00902C6E">
      <w:pPr>
        <w:rPr>
          <w:rStyle w:val="Nessuno"/>
          <w:lang w:val="it-IT"/>
        </w:rPr>
      </w:pPr>
    </w:p>
    <w:p w:rsidR="00902C6E" w:rsidRDefault="00902C6E">
      <w:pPr>
        <w:rPr>
          <w:rStyle w:val="Nessuno"/>
          <w:lang w:val="it-IT"/>
        </w:rPr>
      </w:pPr>
    </w:p>
    <w:p w:rsidR="00902C6E" w:rsidRDefault="00902C6E">
      <w:pPr>
        <w:rPr>
          <w:rStyle w:val="Nessuno"/>
          <w:lang w:val="it-IT"/>
        </w:rPr>
      </w:pPr>
    </w:p>
    <w:p w:rsidR="00902C6E" w:rsidRDefault="00902C6E">
      <w:pPr>
        <w:rPr>
          <w:rStyle w:val="Nessuno"/>
          <w:lang w:val="it-IT"/>
        </w:rPr>
      </w:pPr>
    </w:p>
    <w:p w:rsidR="00902C6E" w:rsidRDefault="00902C6E">
      <w:pPr>
        <w:rPr>
          <w:rStyle w:val="Nessuno"/>
          <w:sz w:val="24"/>
          <w:szCs w:val="24"/>
          <w:lang w:val="it-IT"/>
        </w:rPr>
      </w:pPr>
    </w:p>
    <w:p w:rsidR="00902C6E" w:rsidRDefault="00902C6E">
      <w:pPr>
        <w:rPr>
          <w:rStyle w:val="Nessuno"/>
          <w:sz w:val="24"/>
          <w:szCs w:val="24"/>
          <w:lang w:val="it-IT"/>
        </w:rPr>
      </w:pPr>
    </w:p>
    <w:p w:rsidR="00902C6E" w:rsidRDefault="00902C6E">
      <w:pPr>
        <w:rPr>
          <w:rStyle w:val="Nessuno"/>
          <w:sz w:val="24"/>
          <w:szCs w:val="24"/>
          <w:lang w:val="it-IT"/>
        </w:rPr>
      </w:pPr>
    </w:p>
    <w:p w:rsidR="00902C6E" w:rsidRDefault="00902C6E">
      <w:pPr>
        <w:rPr>
          <w:rStyle w:val="Nessuno"/>
          <w:sz w:val="24"/>
          <w:szCs w:val="24"/>
          <w:lang w:val="it-IT"/>
        </w:rPr>
      </w:pPr>
      <w:bookmarkStart w:id="4" w:name="_headingh.gjdgxs"/>
      <w:bookmarkEnd w:id="4"/>
    </w:p>
    <w:p w:rsidR="00902C6E" w:rsidRDefault="00575269">
      <w:pPr>
        <w:keepNext/>
        <w:keepLines/>
        <w:spacing w:before="240" w:after="0" w:line="259" w:lineRule="auto"/>
        <w:jc w:val="left"/>
        <w:rPr>
          <w:rStyle w:val="Nessuno"/>
          <w:b/>
          <w:bCs/>
          <w:sz w:val="24"/>
          <w:szCs w:val="24"/>
          <w:lang w:val="it-IT"/>
        </w:rPr>
      </w:pPr>
      <w:r>
        <w:rPr>
          <w:rStyle w:val="Nessuno"/>
          <w:b/>
          <w:bCs/>
          <w:sz w:val="24"/>
          <w:szCs w:val="24"/>
          <w:lang w:val="it-IT"/>
        </w:rPr>
        <w:t>Contenu</w:t>
      </w:r>
    </w:p>
    <w:p w:rsidR="00902C6E" w:rsidRDefault="00575269">
      <w:pPr>
        <w:pStyle w:val="Sommario1"/>
        <w:tabs>
          <w:tab w:val="right" w:pos="9046"/>
        </w:tabs>
        <w:rPr>
          <w:rStyle w:val="Nessuno"/>
          <w:lang w:val="it-IT"/>
        </w:rPr>
      </w:pPr>
      <w:r>
        <w:rPr>
          <w:lang w:val="it-IT"/>
        </w:rPr>
        <w:t>Introdu</w:t>
      </w:r>
      <w:r>
        <w:rPr>
          <w:lang w:val="it-IT"/>
        </w:rPr>
        <w:t>ction</w:t>
      </w:r>
      <w:r>
        <w:rPr>
          <w:rStyle w:val="Nessuno"/>
          <w:lang w:val="it-IT"/>
        </w:rPr>
        <w:tab/>
        <w:t>1</w:t>
      </w:r>
    </w:p>
    <w:p w:rsidR="00902C6E" w:rsidRDefault="00575269">
      <w:pPr>
        <w:pStyle w:val="Sommario1"/>
        <w:tabs>
          <w:tab w:val="right" w:pos="9046"/>
        </w:tabs>
        <w:rPr>
          <w:lang w:val="it-IT"/>
        </w:rPr>
      </w:pPr>
      <w:r>
        <w:rPr>
          <w:lang w:val="it-IT"/>
        </w:rPr>
        <w:t>1. Qu'est-ce que la littératie en santé numérique et son importance</w:t>
      </w:r>
      <w:r>
        <w:rPr>
          <w:lang w:val="it-IT"/>
        </w:rPr>
        <w:tab/>
        <w:t>2</w:t>
      </w:r>
    </w:p>
    <w:p w:rsidR="00902C6E" w:rsidRDefault="00575269">
      <w:pPr>
        <w:pStyle w:val="Sommario2"/>
        <w:tabs>
          <w:tab w:val="right" w:pos="9046"/>
        </w:tabs>
        <w:rPr>
          <w:rStyle w:val="Nessuno"/>
          <w:lang w:val="it-IT"/>
        </w:rPr>
      </w:pPr>
      <w:r>
        <w:rPr>
          <w:lang w:val="it-IT"/>
        </w:rPr>
        <w:t>1.1 Le Programme ERASMUS+.</w:t>
      </w:r>
      <w:r>
        <w:rPr>
          <w:rStyle w:val="Nessuno"/>
          <w:lang w:val="it-IT"/>
        </w:rPr>
        <w:tab/>
        <w:t>2</w:t>
      </w:r>
    </w:p>
    <w:p w:rsidR="00902C6E" w:rsidRDefault="00575269">
      <w:pPr>
        <w:pStyle w:val="Sommario2"/>
        <w:tabs>
          <w:tab w:val="right" w:pos="9046"/>
        </w:tabs>
        <w:rPr>
          <w:lang w:val="it-IT"/>
        </w:rPr>
      </w:pPr>
      <w:r>
        <w:rPr>
          <w:lang w:val="it-IT"/>
        </w:rPr>
        <w:t>1.2 Concept de littératie en santé numérique</w:t>
      </w:r>
      <w:r>
        <w:rPr>
          <w:lang w:val="it-IT"/>
        </w:rPr>
        <w:tab/>
        <w:t>3</w:t>
      </w:r>
    </w:p>
    <w:p w:rsidR="00902C6E" w:rsidRDefault="00575269">
      <w:pPr>
        <w:pStyle w:val="Sommario2"/>
        <w:tabs>
          <w:tab w:val="right" w:pos="9046"/>
        </w:tabs>
        <w:rPr>
          <w:lang w:val="it-IT"/>
        </w:rPr>
      </w:pPr>
      <w:r>
        <w:rPr>
          <w:lang w:val="it-IT"/>
        </w:rPr>
        <w:t>1.3 La pertinence de la Digital Health Literacy pour les migrants</w:t>
      </w:r>
      <w:r>
        <w:rPr>
          <w:lang w:val="it-IT"/>
        </w:rPr>
        <w:tab/>
        <w:t>6</w:t>
      </w:r>
    </w:p>
    <w:p w:rsidR="00902C6E" w:rsidRDefault="00575269">
      <w:pPr>
        <w:pStyle w:val="Sommario1"/>
        <w:tabs>
          <w:tab w:val="right" w:pos="9046"/>
        </w:tabs>
        <w:rPr>
          <w:rStyle w:val="Nessuno"/>
          <w:lang w:val="it-IT"/>
        </w:rPr>
      </w:pPr>
      <w:r>
        <w:rPr>
          <w:lang w:val="it-IT"/>
        </w:rPr>
        <w:t>Bibliographie</w:t>
      </w:r>
      <w:r>
        <w:rPr>
          <w:rStyle w:val="Nessuno"/>
          <w:lang w:val="it-IT"/>
        </w:rPr>
        <w:tab/>
      </w:r>
      <w:r>
        <w:rPr>
          <w:rStyle w:val="Nessuno"/>
          <w:lang w:val="it-IT"/>
        </w:rPr>
        <w:t>8</w:t>
      </w:r>
    </w:p>
    <w:p w:rsidR="00902C6E" w:rsidRDefault="00902C6E">
      <w:pPr>
        <w:rPr>
          <w:rStyle w:val="Nessuno"/>
          <w:lang w:val="it-IT"/>
        </w:rPr>
      </w:pPr>
    </w:p>
    <w:p w:rsidR="00902C6E" w:rsidRDefault="00902C6E">
      <w:pPr>
        <w:sectPr w:rsidR="00902C6E">
          <w:headerReference w:type="default" r:id="rId22"/>
          <w:footerReference w:type="default" r:id="rId23"/>
          <w:pgSz w:w="11900" w:h="16840"/>
          <w:pgMar w:top="1417" w:right="1417" w:bottom="1134" w:left="1417" w:header="708" w:footer="478" w:gutter="0"/>
          <w:pgNumType w:start="1"/>
          <w:cols w:space="720"/>
        </w:sectPr>
      </w:pPr>
    </w:p>
    <w:p w:rsidR="00902C6E" w:rsidRDefault="00575269">
      <w:pPr>
        <w:pStyle w:val="Titolo1"/>
        <w:rPr>
          <w:rStyle w:val="Nessuno"/>
          <w:sz w:val="28"/>
          <w:szCs w:val="28"/>
          <w:lang w:val="it-IT"/>
        </w:rPr>
      </w:pPr>
      <w:r>
        <w:rPr>
          <w:rStyle w:val="Nessuno"/>
          <w:sz w:val="28"/>
          <w:szCs w:val="28"/>
          <w:lang w:val="it-IT"/>
        </w:rPr>
        <w:lastRenderedPageBreak/>
        <w:t>Introduzione</w:t>
      </w:r>
    </w:p>
    <w:p w:rsidR="00902C6E" w:rsidRDefault="00575269">
      <w:pPr>
        <w:rPr>
          <w:rStyle w:val="Nessuno"/>
          <w:sz w:val="24"/>
          <w:szCs w:val="24"/>
          <w:lang w:val="it-IT"/>
        </w:rPr>
      </w:pPr>
      <w:r>
        <w:rPr>
          <w:rStyle w:val="Nessuno"/>
          <w:sz w:val="24"/>
          <w:szCs w:val="24"/>
          <w:lang w:val="it-IT"/>
        </w:rPr>
        <w:t>Le manuel suivant fait partie de l'accomplissement intellectuel 2 du projet MIG-DHL. Ce manuel couvre les six modules:</w:t>
      </w:r>
    </w:p>
    <w:p w:rsidR="00902C6E" w:rsidRDefault="00575269">
      <w:pPr>
        <w:numPr>
          <w:ilvl w:val="0"/>
          <w:numId w:val="4"/>
        </w:numPr>
        <w:spacing w:after="0"/>
        <w:rPr>
          <w:b/>
          <w:bCs/>
          <w:sz w:val="24"/>
          <w:szCs w:val="24"/>
          <w:lang w:val="it-IT"/>
        </w:rPr>
      </w:pPr>
      <w:r>
        <w:rPr>
          <w:rStyle w:val="Nessuno"/>
          <w:b/>
          <w:bCs/>
          <w:sz w:val="24"/>
          <w:szCs w:val="24"/>
          <w:lang w:val="fr-FR"/>
        </w:rPr>
        <w:t>Qu’est-ce que l’éducation en matière de santé [Digital Health Literacy</w:t>
      </w:r>
      <w:proofErr w:type="gramStart"/>
      <w:r>
        <w:rPr>
          <w:rStyle w:val="Nessuno"/>
          <w:b/>
          <w:bCs/>
          <w:sz w:val="24"/>
          <w:szCs w:val="24"/>
          <w:lang w:val="fr-FR"/>
        </w:rPr>
        <w:t>]</w:t>
      </w:r>
      <w:r>
        <w:rPr>
          <w:rStyle w:val="Nessuno"/>
          <w:b/>
          <w:bCs/>
          <w:sz w:val="24"/>
          <w:szCs w:val="24"/>
          <w:lang w:val="it-IT"/>
        </w:rPr>
        <w:t>?</w:t>
      </w:r>
      <w:proofErr w:type="gramEnd"/>
    </w:p>
    <w:p w:rsidR="00902C6E" w:rsidRDefault="00575269">
      <w:pPr>
        <w:numPr>
          <w:ilvl w:val="0"/>
          <w:numId w:val="4"/>
        </w:numPr>
        <w:spacing w:after="0"/>
        <w:rPr>
          <w:sz w:val="24"/>
          <w:szCs w:val="24"/>
          <w:lang w:val="it-IT"/>
        </w:rPr>
      </w:pPr>
      <w:r>
        <w:rPr>
          <w:sz w:val="24"/>
          <w:szCs w:val="24"/>
          <w:lang w:val="it-IT"/>
        </w:rPr>
        <w:t xml:space="preserve">Les </w:t>
      </w:r>
      <w:r>
        <w:rPr>
          <w:sz w:val="24"/>
          <w:szCs w:val="24"/>
          <w:lang w:val="it-IT"/>
        </w:rPr>
        <w:t>principaux problèmes de santé à l'arrivée dans un nouveau pays</w:t>
      </w:r>
      <w:r>
        <w:rPr>
          <w:rStyle w:val="Nessuno"/>
          <w:sz w:val="24"/>
          <w:szCs w:val="24"/>
          <w:lang w:val="it-IT"/>
        </w:rPr>
        <w:t xml:space="preserve"> </w:t>
      </w:r>
    </w:p>
    <w:p w:rsidR="00902C6E" w:rsidRDefault="00575269">
      <w:pPr>
        <w:numPr>
          <w:ilvl w:val="0"/>
          <w:numId w:val="4"/>
        </w:numPr>
        <w:spacing w:after="0"/>
        <w:rPr>
          <w:sz w:val="24"/>
          <w:szCs w:val="24"/>
          <w:lang w:val="it-IT"/>
        </w:rPr>
      </w:pPr>
      <w:r>
        <w:rPr>
          <w:sz w:val="24"/>
          <w:szCs w:val="24"/>
          <w:lang w:val="it-IT"/>
        </w:rPr>
        <w:t>Les services nationaux de santé</w:t>
      </w:r>
      <w:r>
        <w:rPr>
          <w:rStyle w:val="Nessuno"/>
          <w:sz w:val="24"/>
          <w:szCs w:val="24"/>
          <w:lang w:val="it-IT"/>
        </w:rPr>
        <w:t xml:space="preserve"> </w:t>
      </w:r>
    </w:p>
    <w:p w:rsidR="00902C6E" w:rsidRDefault="00575269">
      <w:pPr>
        <w:numPr>
          <w:ilvl w:val="0"/>
          <w:numId w:val="4"/>
        </w:numPr>
        <w:spacing w:after="0"/>
        <w:rPr>
          <w:sz w:val="24"/>
          <w:szCs w:val="24"/>
          <w:lang w:val="it-IT"/>
        </w:rPr>
      </w:pPr>
      <w:r>
        <w:rPr>
          <w:rStyle w:val="Nessuno"/>
          <w:sz w:val="24"/>
          <w:szCs w:val="24"/>
          <w:lang w:val="fr-FR"/>
        </w:rPr>
        <w:t xml:space="preserve">Développer </w:t>
      </w:r>
      <w:proofErr w:type="gramStart"/>
      <w:r>
        <w:rPr>
          <w:rStyle w:val="Nessuno"/>
          <w:sz w:val="24"/>
          <w:szCs w:val="24"/>
          <w:lang w:val="fr-FR"/>
        </w:rPr>
        <w:t>ses connaissances numérique</w:t>
      </w:r>
      <w:proofErr w:type="gramEnd"/>
      <w:r>
        <w:rPr>
          <w:rStyle w:val="Nessuno"/>
          <w:sz w:val="24"/>
          <w:szCs w:val="24"/>
          <w:lang w:val="fr-FR"/>
        </w:rPr>
        <w:t xml:space="preserve"> </w:t>
      </w:r>
    </w:p>
    <w:p w:rsidR="00902C6E" w:rsidRDefault="00575269">
      <w:pPr>
        <w:numPr>
          <w:ilvl w:val="0"/>
          <w:numId w:val="4"/>
        </w:numPr>
        <w:spacing w:after="0"/>
        <w:rPr>
          <w:sz w:val="24"/>
          <w:szCs w:val="24"/>
          <w:lang w:val="it-IT"/>
        </w:rPr>
      </w:pPr>
      <w:r>
        <w:rPr>
          <w:rStyle w:val="Nessuno"/>
          <w:sz w:val="24"/>
          <w:szCs w:val="24"/>
          <w:lang w:val="fr-FR"/>
        </w:rPr>
        <w:t xml:space="preserve">Découvrir les outils de santé numérique </w:t>
      </w:r>
    </w:p>
    <w:p w:rsidR="00902C6E" w:rsidRDefault="00575269">
      <w:pPr>
        <w:numPr>
          <w:ilvl w:val="0"/>
          <w:numId w:val="4"/>
        </w:numPr>
        <w:rPr>
          <w:sz w:val="24"/>
          <w:szCs w:val="24"/>
          <w:lang w:val="it-IT"/>
        </w:rPr>
      </w:pPr>
      <w:r>
        <w:rPr>
          <w:rStyle w:val="Nessuno"/>
          <w:sz w:val="24"/>
          <w:szCs w:val="24"/>
          <w:lang w:val="fr-FR"/>
        </w:rPr>
        <w:t xml:space="preserve">Être actif dans l’environnement de la santé numérique </w:t>
      </w:r>
    </w:p>
    <w:p w:rsidR="00902C6E" w:rsidRDefault="00575269">
      <w:pPr>
        <w:jc w:val="left"/>
        <w:rPr>
          <w:sz w:val="24"/>
          <w:szCs w:val="24"/>
          <w:lang w:val="it-IT"/>
        </w:rPr>
      </w:pPr>
      <w:r>
        <w:rPr>
          <w:sz w:val="24"/>
          <w:szCs w:val="24"/>
          <w:lang w:val="it-IT"/>
        </w:rPr>
        <w:t>Le manuel s'adresse spé</w:t>
      </w:r>
      <w:r>
        <w:rPr>
          <w:sz w:val="24"/>
          <w:szCs w:val="24"/>
          <w:lang w:val="it-IT"/>
        </w:rPr>
        <w:t>cifiquement aux formateurs et aux collaborateurs (travailleurs sociaux, de santé, etc.) dans le but de pouvoir leur apporter une connaissance plus approfondie des sujets abordés dans les sessions de formation.  De plus, le formateur est prêt à répondre à d</w:t>
      </w:r>
      <w:r>
        <w:rPr>
          <w:sz w:val="24"/>
          <w:szCs w:val="24"/>
          <w:lang w:val="it-IT"/>
        </w:rPr>
        <w:t>es questions plus détaillées que les informations fournies dans le matériel de formation. Par conséquent, ce manuel fournit des connaissances plus approfondies et des liens vers des ressources supplémentaires liées au contenu, principalement pour les forma</w:t>
      </w:r>
      <w:r>
        <w:rPr>
          <w:sz w:val="24"/>
          <w:szCs w:val="24"/>
          <w:lang w:val="it-IT"/>
        </w:rPr>
        <w:t xml:space="preserve">teurs, mais bien sûr aussi pour toutes les autres personnes qui souhaitent en savoir plus sur les sujets. </w:t>
      </w:r>
    </w:p>
    <w:p w:rsidR="00902C6E" w:rsidRDefault="00575269">
      <w:pPr>
        <w:jc w:val="left"/>
        <w:rPr>
          <w:sz w:val="24"/>
          <w:szCs w:val="24"/>
          <w:lang w:val="it-IT"/>
        </w:rPr>
      </w:pPr>
      <w:r>
        <w:rPr>
          <w:sz w:val="24"/>
          <w:szCs w:val="24"/>
          <w:lang w:val="it-IT"/>
        </w:rPr>
        <w:t>La structure du manuel est orientée vers la structure du programme de formation. Chaque module comporte un chapitre d'environ 6 à 8 pages.</w:t>
      </w:r>
    </w:p>
    <w:p w:rsidR="00902C6E" w:rsidRDefault="00575269">
      <w:pPr>
        <w:rPr>
          <w:rStyle w:val="Nessuno"/>
          <w:sz w:val="24"/>
          <w:szCs w:val="24"/>
          <w:lang w:val="it-IT"/>
        </w:rPr>
      </w:pPr>
      <w:r>
        <w:rPr>
          <w:rStyle w:val="Nessuno"/>
          <w:sz w:val="24"/>
          <w:szCs w:val="24"/>
          <w:lang w:val="it-IT"/>
        </w:rPr>
        <w:t xml:space="preserve">Ce manuel </w:t>
      </w:r>
      <w:r>
        <w:rPr>
          <w:rStyle w:val="Nessuno"/>
          <w:sz w:val="24"/>
          <w:szCs w:val="24"/>
          <w:lang w:val="it-IT"/>
        </w:rPr>
        <w:t xml:space="preserve">contient des informations relatives au module 1, </w:t>
      </w:r>
      <w:r>
        <w:rPr>
          <w:rStyle w:val="Nessuno"/>
          <w:b/>
          <w:bCs/>
          <w:sz w:val="24"/>
          <w:szCs w:val="24"/>
          <w:lang w:val="it-IT"/>
        </w:rPr>
        <w:t>Qu'est-ce que la littératie en santé numérique et sa pertinence.</w:t>
      </w:r>
      <w:r>
        <w:rPr>
          <w:rStyle w:val="Nessuno"/>
          <w:sz w:val="24"/>
          <w:szCs w:val="24"/>
          <w:lang w:val="it-IT"/>
        </w:rPr>
        <w:t xml:space="preserve"> Par conséquent, vous trouverez ici les informations théoriques nécessaires pour soutenir les contenus et les activités de DPTA_1.</w:t>
      </w:r>
    </w:p>
    <w:p w:rsidR="00902C6E" w:rsidRDefault="00575269">
      <w:pPr>
        <w:rPr>
          <w:rStyle w:val="Nessuno"/>
          <w:sz w:val="24"/>
          <w:szCs w:val="24"/>
          <w:lang w:val="it-IT"/>
        </w:rPr>
      </w:pPr>
      <w:r>
        <w:rPr>
          <w:rStyle w:val="Nessuno"/>
          <w:rFonts w:eastAsia="Arial Unicode MS" w:cs="Arial Unicode MS"/>
          <w:sz w:val="24"/>
          <w:szCs w:val="24"/>
          <w:lang w:val="it-IT"/>
        </w:rPr>
        <w:t xml:space="preserve">Le module 1 </w:t>
      </w:r>
      <w:r>
        <w:rPr>
          <w:rStyle w:val="Nessuno"/>
          <w:rFonts w:eastAsia="Arial Unicode MS" w:cs="Arial Unicode MS"/>
          <w:sz w:val="24"/>
          <w:szCs w:val="24"/>
          <w:lang w:val="it-IT"/>
        </w:rPr>
        <w:t>a un caract</w:t>
      </w:r>
      <w:r>
        <w:rPr>
          <w:rStyle w:val="Nessuno"/>
          <w:rFonts w:eastAsia="Arial Unicode MS" w:cs="Arial Unicode MS"/>
          <w:sz w:val="24"/>
          <w:szCs w:val="24"/>
          <w:lang w:val="it-IT"/>
        </w:rPr>
        <w:t>è</w:t>
      </w:r>
      <w:r>
        <w:rPr>
          <w:rStyle w:val="Nessuno"/>
          <w:rFonts w:eastAsia="Arial Unicode MS" w:cs="Arial Unicode MS"/>
          <w:sz w:val="24"/>
          <w:szCs w:val="24"/>
          <w:lang w:val="it-IT"/>
        </w:rPr>
        <w:t xml:space="preserve">re clairement introductif et vise </w:t>
      </w:r>
      <w:r>
        <w:rPr>
          <w:rStyle w:val="Nessuno"/>
          <w:rFonts w:eastAsia="Arial Unicode MS" w:cs="Arial Unicode MS"/>
          <w:sz w:val="24"/>
          <w:szCs w:val="24"/>
          <w:lang w:val="it-IT"/>
        </w:rPr>
        <w:t xml:space="preserve">à </w:t>
      </w:r>
      <w:r>
        <w:rPr>
          <w:rStyle w:val="Nessuno"/>
          <w:rFonts w:eastAsia="Arial Unicode MS" w:cs="Arial Unicode MS"/>
          <w:sz w:val="24"/>
          <w:szCs w:val="24"/>
          <w:lang w:val="it-IT"/>
        </w:rPr>
        <w:t>pr</w:t>
      </w:r>
      <w:r>
        <w:rPr>
          <w:rStyle w:val="Nessuno"/>
          <w:rFonts w:eastAsia="Arial Unicode MS" w:cs="Arial Unicode MS"/>
          <w:sz w:val="24"/>
          <w:szCs w:val="24"/>
          <w:lang w:val="it-IT"/>
        </w:rPr>
        <w:t>é</w:t>
      </w:r>
      <w:r>
        <w:rPr>
          <w:rStyle w:val="Nessuno"/>
          <w:rFonts w:eastAsia="Arial Unicode MS" w:cs="Arial Unicode MS"/>
          <w:sz w:val="24"/>
          <w:szCs w:val="24"/>
          <w:lang w:val="it-IT"/>
        </w:rPr>
        <w:t>senter le contenu du cours de mani</w:t>
      </w:r>
      <w:r>
        <w:rPr>
          <w:rStyle w:val="Nessuno"/>
          <w:rFonts w:eastAsia="Arial Unicode MS" w:cs="Arial Unicode MS"/>
          <w:sz w:val="24"/>
          <w:szCs w:val="24"/>
          <w:lang w:val="it-IT"/>
        </w:rPr>
        <w:t>è</w:t>
      </w:r>
      <w:r>
        <w:rPr>
          <w:rStyle w:val="Nessuno"/>
          <w:rFonts w:eastAsia="Arial Unicode MS" w:cs="Arial Unicode MS"/>
          <w:sz w:val="24"/>
          <w:szCs w:val="24"/>
          <w:lang w:val="it-IT"/>
        </w:rPr>
        <w:t>re pratique, afin qu'il soit attrayant pour ceux qui l'abordent. Le contenu de ce manuel fournit une br</w:t>
      </w:r>
      <w:r>
        <w:rPr>
          <w:rStyle w:val="Nessuno"/>
          <w:rFonts w:eastAsia="Arial Unicode MS" w:cs="Arial Unicode MS"/>
          <w:sz w:val="24"/>
          <w:szCs w:val="24"/>
          <w:lang w:val="it-IT"/>
        </w:rPr>
        <w:t>è</w:t>
      </w:r>
      <w:r>
        <w:rPr>
          <w:rStyle w:val="Nessuno"/>
          <w:rFonts w:eastAsia="Arial Unicode MS" w:cs="Arial Unicode MS"/>
          <w:sz w:val="24"/>
          <w:szCs w:val="24"/>
          <w:lang w:val="it-IT"/>
        </w:rPr>
        <w:t>ve introduction au programme Erasmus +, un aper</w:t>
      </w:r>
      <w:r>
        <w:rPr>
          <w:rStyle w:val="Nessuno"/>
          <w:rFonts w:eastAsia="Arial Unicode MS" w:cs="Arial Unicode MS"/>
          <w:sz w:val="24"/>
          <w:szCs w:val="24"/>
          <w:lang w:val="it-IT"/>
        </w:rPr>
        <w:t>ç</w:t>
      </w:r>
      <w:r>
        <w:rPr>
          <w:rStyle w:val="Nessuno"/>
          <w:rFonts w:eastAsia="Arial Unicode MS" w:cs="Arial Unicode MS"/>
          <w:sz w:val="24"/>
          <w:szCs w:val="24"/>
          <w:lang w:val="it-IT"/>
        </w:rPr>
        <w:t xml:space="preserve">u du concept de </w:t>
      </w:r>
      <w:r>
        <w:rPr>
          <w:rStyle w:val="Nessuno"/>
          <w:rFonts w:eastAsia="Arial Unicode MS" w:cs="Arial Unicode MS"/>
          <w:sz w:val="24"/>
          <w:szCs w:val="24"/>
          <w:lang w:val="it-IT"/>
        </w:rPr>
        <w:t>litt</w:t>
      </w:r>
      <w:r>
        <w:rPr>
          <w:rStyle w:val="Nessuno"/>
          <w:rFonts w:eastAsia="Arial Unicode MS" w:cs="Arial Unicode MS"/>
          <w:sz w:val="24"/>
          <w:szCs w:val="24"/>
          <w:lang w:val="it-IT"/>
        </w:rPr>
        <w:t>é</w:t>
      </w:r>
      <w:r>
        <w:rPr>
          <w:rStyle w:val="Nessuno"/>
          <w:rFonts w:eastAsia="Arial Unicode MS" w:cs="Arial Unicode MS"/>
          <w:sz w:val="24"/>
          <w:szCs w:val="24"/>
          <w:lang w:val="it-IT"/>
        </w:rPr>
        <w:t>ratie num</w:t>
      </w:r>
      <w:r>
        <w:rPr>
          <w:rStyle w:val="Nessuno"/>
          <w:rFonts w:eastAsia="Arial Unicode MS" w:cs="Arial Unicode MS"/>
          <w:sz w:val="24"/>
          <w:szCs w:val="24"/>
          <w:lang w:val="it-IT"/>
        </w:rPr>
        <w:t>é</w:t>
      </w:r>
      <w:r>
        <w:rPr>
          <w:rStyle w:val="Nessuno"/>
          <w:rFonts w:eastAsia="Arial Unicode MS" w:cs="Arial Unicode MS"/>
          <w:sz w:val="24"/>
          <w:szCs w:val="24"/>
          <w:lang w:val="it-IT"/>
        </w:rPr>
        <w:t>rique en sant</w:t>
      </w:r>
      <w:r>
        <w:rPr>
          <w:rStyle w:val="Nessuno"/>
          <w:rFonts w:eastAsia="Arial Unicode MS" w:cs="Arial Unicode MS"/>
          <w:sz w:val="24"/>
          <w:szCs w:val="24"/>
          <w:lang w:val="it-IT"/>
        </w:rPr>
        <w:t xml:space="preserve">é </w:t>
      </w:r>
      <w:r>
        <w:rPr>
          <w:rStyle w:val="Nessuno"/>
          <w:rFonts w:eastAsia="Arial Unicode MS" w:cs="Arial Unicode MS"/>
          <w:sz w:val="24"/>
          <w:szCs w:val="24"/>
          <w:lang w:val="it-IT"/>
        </w:rPr>
        <w:t xml:space="preserve">et pourquoi cela peut </w:t>
      </w:r>
      <w:r>
        <w:rPr>
          <w:rStyle w:val="Nessuno"/>
          <w:rFonts w:eastAsia="Arial Unicode MS" w:cs="Arial Unicode MS"/>
          <w:sz w:val="24"/>
          <w:szCs w:val="24"/>
          <w:lang w:val="it-IT"/>
        </w:rPr>
        <w:t>ê</w:t>
      </w:r>
      <w:r>
        <w:rPr>
          <w:rStyle w:val="Nessuno"/>
          <w:rFonts w:eastAsia="Arial Unicode MS" w:cs="Arial Unicode MS"/>
          <w:sz w:val="24"/>
          <w:szCs w:val="24"/>
          <w:lang w:val="it-IT"/>
        </w:rPr>
        <w:t>tre pertinent pour les migrants.</w:t>
      </w:r>
    </w:p>
    <w:p w:rsidR="00902C6E" w:rsidRDefault="00902C6E">
      <w:pPr>
        <w:pStyle w:val="Titolo1"/>
        <w:rPr>
          <w:rStyle w:val="Nessuno"/>
          <w:lang w:val="it-IT"/>
        </w:rPr>
      </w:pPr>
    </w:p>
    <w:p w:rsidR="00902C6E" w:rsidRDefault="00575269">
      <w:pPr>
        <w:pStyle w:val="Titolo1"/>
        <w:rPr>
          <w:lang w:val="it-IT"/>
        </w:rPr>
      </w:pPr>
      <w:r>
        <w:rPr>
          <w:rStyle w:val="Nessuno"/>
          <w:lang w:val="it-IT"/>
        </w:rPr>
        <w:t xml:space="preserve">1. </w:t>
      </w:r>
      <w:r>
        <w:rPr>
          <w:lang w:val="it-IT"/>
        </w:rPr>
        <w:t>Qu'est-ce que la littératie en santé numérique et sa pertinence.</w:t>
      </w:r>
    </w:p>
    <w:p w:rsidR="00902C6E" w:rsidRDefault="00575269">
      <w:pPr>
        <w:pStyle w:val="Titolo1"/>
        <w:jc w:val="left"/>
        <w:rPr>
          <w:rStyle w:val="Nessuno"/>
          <w:lang w:val="it-IT"/>
        </w:rPr>
      </w:pPr>
      <w:r>
        <w:rPr>
          <w:rStyle w:val="Nessuno"/>
          <w:lang w:val="it-IT"/>
        </w:rPr>
        <w:t xml:space="preserve">1.1 Le Programme ERASMUS+. </w:t>
      </w:r>
    </w:p>
    <w:p w:rsidR="00902C6E" w:rsidRDefault="00575269">
      <w:pPr>
        <w:rPr>
          <w:rStyle w:val="Nessuno"/>
          <w:sz w:val="24"/>
          <w:szCs w:val="24"/>
          <w:lang w:val="it-IT"/>
        </w:rPr>
      </w:pPr>
      <w:r>
        <w:rPr>
          <w:rStyle w:val="Nessuno"/>
          <w:sz w:val="24"/>
          <w:szCs w:val="24"/>
          <w:lang w:val="it-IT"/>
        </w:rPr>
        <w:t>Erasmus + est le programme de l'UE dans les domaines de l'éducation, de l</w:t>
      </w:r>
      <w:r>
        <w:rPr>
          <w:rStyle w:val="Nessuno"/>
          <w:sz w:val="24"/>
          <w:szCs w:val="24"/>
          <w:lang w:val="it-IT"/>
        </w:rPr>
        <w:t xml:space="preserve">a formation, de la jeunesse et du sport pour la période 2021-2027. L'éducation, la formation, la jeunesse et </w:t>
      </w:r>
      <w:proofErr w:type="gramStart"/>
      <w:r>
        <w:rPr>
          <w:rStyle w:val="Nessuno"/>
          <w:sz w:val="24"/>
          <w:szCs w:val="24"/>
          <w:lang w:val="it-IT"/>
        </w:rPr>
        <w:t>le sport</w:t>
      </w:r>
      <w:proofErr w:type="gramEnd"/>
      <w:r>
        <w:rPr>
          <w:rStyle w:val="Nessuno"/>
          <w:sz w:val="24"/>
          <w:szCs w:val="24"/>
          <w:lang w:val="it-IT"/>
        </w:rPr>
        <w:t xml:space="preserve"> sont des secteurs clés qui accompagnent les citoyens dans leur développement personnel et professionnel. Une éducation et une formation in</w:t>
      </w:r>
      <w:r>
        <w:rPr>
          <w:rStyle w:val="Nessuno"/>
          <w:sz w:val="24"/>
          <w:szCs w:val="24"/>
          <w:lang w:val="it-IT"/>
        </w:rPr>
        <w:t>clusives et de haute qualité, ainsi que l'apprentissage informel et non formel, finissent par doter les jeunes et les participants de tous âges des qualifications et des compétences nécessaires à une participation significative à la société démocratique, à</w:t>
      </w:r>
      <w:r>
        <w:rPr>
          <w:rStyle w:val="Nessuno"/>
          <w:sz w:val="24"/>
          <w:szCs w:val="24"/>
          <w:lang w:val="it-IT"/>
        </w:rPr>
        <w:t xml:space="preserve"> la compréhension de l'interculturel et à une transition réussie sur le marché du travail. En s'appuyant sur le succès du programme au cours de la période 2014-2020, Erasmus + renforce ses efforts pour augmenter les opportunités offertes à davantage de par</w:t>
      </w:r>
      <w:r>
        <w:rPr>
          <w:rStyle w:val="Nessuno"/>
          <w:sz w:val="24"/>
          <w:szCs w:val="24"/>
          <w:lang w:val="it-IT"/>
        </w:rPr>
        <w:t xml:space="preserve">ticipants et à un plus large éventail d'organisations, en </w:t>
      </w:r>
      <w:proofErr w:type="gramStart"/>
      <w:r>
        <w:rPr>
          <w:rStyle w:val="Nessuno"/>
          <w:sz w:val="24"/>
          <w:szCs w:val="24"/>
          <w:lang w:val="it-IT"/>
        </w:rPr>
        <w:t>se</w:t>
      </w:r>
      <w:proofErr w:type="gramEnd"/>
      <w:r>
        <w:rPr>
          <w:rStyle w:val="Nessuno"/>
          <w:sz w:val="24"/>
          <w:szCs w:val="24"/>
          <w:lang w:val="it-IT"/>
        </w:rPr>
        <w:t xml:space="preserve"> concentrant sur son impact qualitatif et en contribuant à des sociétés plus inclusives et cohésives, plus attentives à la problématique environnementale et à la formation numérique.</w:t>
      </w:r>
    </w:p>
    <w:p w:rsidR="00902C6E" w:rsidRDefault="00575269">
      <w:pPr>
        <w:rPr>
          <w:rStyle w:val="Nessuno"/>
          <w:sz w:val="24"/>
          <w:szCs w:val="24"/>
          <w:lang w:val="it-IT"/>
        </w:rPr>
      </w:pPr>
      <w:r>
        <w:rPr>
          <w:rStyle w:val="Nessuno"/>
          <w:sz w:val="24"/>
          <w:szCs w:val="24"/>
          <w:lang w:val="it-IT"/>
        </w:rPr>
        <w:t>Comme l'a mon</w:t>
      </w:r>
      <w:r>
        <w:rPr>
          <w:rStyle w:val="Nessuno"/>
          <w:sz w:val="24"/>
          <w:szCs w:val="24"/>
          <w:lang w:val="it-IT"/>
        </w:rPr>
        <w:t>tré la pandémie de COVID-19, l'accès à l'éducation s'avère plus que jamais essentiel pour assurer une reprise rapide tout en favorisant l'égalité des chances pour tous. Dans le cadre de ce processus de relance, le programme Erasmus + porte sa dimension inc</w:t>
      </w:r>
      <w:r>
        <w:rPr>
          <w:rStyle w:val="Nessuno"/>
          <w:sz w:val="24"/>
          <w:szCs w:val="24"/>
          <w:lang w:val="it-IT"/>
        </w:rPr>
        <w:t>lusive vers un nouvel horizon, soutenant les opportunités de développement personnel, socio-éducatif et professionnel des personnes en Europe et ailleurs, dans le but de ne laisser personne de côté. Afin d'accroître l'impact qualitatif de ses actions et d'</w:t>
      </w:r>
      <w:r>
        <w:rPr>
          <w:rStyle w:val="Nessuno"/>
          <w:sz w:val="24"/>
          <w:szCs w:val="24"/>
          <w:lang w:val="it-IT"/>
        </w:rPr>
        <w:t>assurer l'égalité des chances, le programme s'adressera plus et mieux à des personnes d'âges différents et de milieux culturels, sociaux et économiques différents.</w:t>
      </w:r>
    </w:p>
    <w:p w:rsidR="00902C6E" w:rsidRDefault="00575269">
      <w:pPr>
        <w:rPr>
          <w:rStyle w:val="Nessuno"/>
          <w:sz w:val="24"/>
          <w:szCs w:val="24"/>
          <w:shd w:val="clear" w:color="auto" w:fill="FFFFFF"/>
          <w:lang w:val="it-IT"/>
        </w:rPr>
      </w:pPr>
      <w:r>
        <w:rPr>
          <w:sz w:val="24"/>
          <w:szCs w:val="24"/>
          <w:lang w:val="it-IT"/>
        </w:rPr>
        <w:t>L'objectif principal du programme est de se rapprocher des personnes ayant moins d'opportuni</w:t>
      </w:r>
      <w:r>
        <w:rPr>
          <w:sz w:val="24"/>
          <w:szCs w:val="24"/>
          <w:lang w:val="it-IT"/>
        </w:rPr>
        <w:t xml:space="preserve">tés, y compris les personnes handicapées et les immigrés, ainsi que les citoyens de l'UE vivant dans des zones reculées ou rencontrant des difficultés socio-économiques. De cette manière, le programme encouragera également ses participants, en particulier </w:t>
      </w:r>
      <w:r>
        <w:rPr>
          <w:sz w:val="24"/>
          <w:szCs w:val="24"/>
          <w:lang w:val="it-IT"/>
        </w:rPr>
        <w:t>les jeunes, à s'engager et à apprendre à participer à la société civile, en les sensibilisant aux valeurs communes de l'Union européenne.</w:t>
      </w:r>
    </w:p>
    <w:p w:rsidR="00902C6E" w:rsidRDefault="00902C6E">
      <w:pPr>
        <w:pStyle w:val="Didefault"/>
        <w:spacing w:before="0" w:line="480" w:lineRule="atLeast"/>
        <w:rPr>
          <w:rStyle w:val="Nessuno"/>
          <w:rFonts w:ascii="Arial" w:eastAsia="Arial" w:hAnsi="Arial" w:cs="Arial"/>
          <w:sz w:val="32"/>
          <w:szCs w:val="32"/>
          <w:shd w:val="clear" w:color="auto" w:fill="FFFFFF"/>
        </w:rPr>
      </w:pPr>
    </w:p>
    <w:p w:rsidR="00902C6E" w:rsidRDefault="00902C6E">
      <w:pPr>
        <w:pStyle w:val="Didefault"/>
        <w:spacing w:before="0"/>
        <w:rPr>
          <w:rStyle w:val="Nessuno"/>
          <w:rFonts w:ascii="Arial" w:eastAsia="Arial" w:hAnsi="Arial" w:cs="Arial"/>
          <w:color w:val="202124"/>
          <w:shd w:val="clear" w:color="auto" w:fill="FFFFFF"/>
        </w:rPr>
      </w:pPr>
    </w:p>
    <w:p w:rsidR="00902C6E" w:rsidRDefault="00575269">
      <w:pPr>
        <w:rPr>
          <w:rStyle w:val="Nessuno"/>
          <w:sz w:val="24"/>
          <w:szCs w:val="24"/>
          <w:lang w:val="it-IT"/>
        </w:rPr>
      </w:pPr>
      <w:r>
        <w:rPr>
          <w:rStyle w:val="Nessuno"/>
          <w:sz w:val="24"/>
          <w:szCs w:val="24"/>
          <w:lang w:val="it-IT"/>
        </w:rPr>
        <w:t xml:space="preserve">Le programme continuera à autonomiser les jeunes et à encourager leur participation à </w:t>
      </w:r>
      <w:proofErr w:type="gramStart"/>
      <w:r>
        <w:rPr>
          <w:rStyle w:val="Nessuno"/>
          <w:sz w:val="24"/>
          <w:szCs w:val="24"/>
          <w:lang w:val="it-IT"/>
        </w:rPr>
        <w:t>la vie</w:t>
      </w:r>
      <w:proofErr w:type="gramEnd"/>
      <w:r>
        <w:rPr>
          <w:rStyle w:val="Nessuno"/>
          <w:sz w:val="24"/>
          <w:szCs w:val="24"/>
          <w:lang w:val="it-IT"/>
        </w:rPr>
        <w:t xml:space="preserve"> démocratique, notamment</w:t>
      </w:r>
      <w:r>
        <w:rPr>
          <w:rStyle w:val="Nessuno"/>
          <w:sz w:val="24"/>
          <w:szCs w:val="24"/>
          <w:lang w:val="it-IT"/>
        </w:rPr>
        <w:t xml:space="preserve"> en soutenant des activités liées à l'Année européenne de la jeunesse 2022, annoncée dans le discours sur l'état de l'Union de septembre 2021. En outre, le développement des compétences et compétences et compétences numériques dans des secteurs d'avenir, t</w:t>
      </w:r>
      <w:r>
        <w:rPr>
          <w:rStyle w:val="Nessuno"/>
          <w:sz w:val="24"/>
          <w:szCs w:val="24"/>
          <w:lang w:val="it-IT"/>
        </w:rPr>
        <w:t>els que la lutte contre le changement climatique, les énergies propres, l'intelligence artificielle, la robotique, l'analyse de données massives, etc. elle est essentielle pour une future croissance durable et la cohésion de l'Europe. Le programme peut app</w:t>
      </w:r>
      <w:r>
        <w:rPr>
          <w:rStyle w:val="Nessuno"/>
          <w:sz w:val="24"/>
          <w:szCs w:val="24"/>
          <w:lang w:val="it-IT"/>
        </w:rPr>
        <w:t>orter une contribution significative en stimulant l'innovation et en comblant le fossé des connaissances, des aptitudes et des compétences présentes dans les différents espaces européens. Les entreprises de l'UE doivent devenir plus compétitives grâce au t</w:t>
      </w:r>
      <w:r>
        <w:rPr>
          <w:rStyle w:val="Nessuno"/>
          <w:sz w:val="24"/>
          <w:szCs w:val="24"/>
          <w:lang w:val="it-IT"/>
        </w:rPr>
        <w:t>alent et à l'innovation. Cet investissement dans les connaissances, les compétences et l'expertise bénéficiera aux individus, aux institutions, aux organisations et à la société dans son ensemble, contribuant à une croissance durable et garantissant l'équi</w:t>
      </w:r>
      <w:r>
        <w:rPr>
          <w:rStyle w:val="Nessuno"/>
          <w:sz w:val="24"/>
          <w:szCs w:val="24"/>
          <w:lang w:val="it-IT"/>
        </w:rPr>
        <w:t>té, la prospérité et l'inclusion sociale en Europe et au-delà.</w:t>
      </w:r>
    </w:p>
    <w:p w:rsidR="00902C6E" w:rsidRDefault="00575269">
      <w:pPr>
        <w:rPr>
          <w:rStyle w:val="Nessuno"/>
          <w:sz w:val="24"/>
          <w:szCs w:val="24"/>
          <w:lang w:val="it-IT"/>
        </w:rPr>
      </w:pPr>
      <w:r>
        <w:rPr>
          <w:rStyle w:val="Nessuno"/>
          <w:sz w:val="24"/>
          <w:szCs w:val="24"/>
          <w:lang w:val="it-IT"/>
        </w:rPr>
        <w:t>Au sein du programme ERASMUS+, l'</w:t>
      </w:r>
      <w:r>
        <w:rPr>
          <w:rStyle w:val="Nessuno"/>
          <w:b/>
          <w:bCs/>
          <w:sz w:val="24"/>
          <w:szCs w:val="24"/>
          <w:lang w:val="it-IT"/>
        </w:rPr>
        <w:t>Action clé 2: Coopération entre organisations et institutions</w:t>
      </w:r>
      <w:r>
        <w:rPr>
          <w:rStyle w:val="Nessuno"/>
          <w:sz w:val="24"/>
          <w:szCs w:val="24"/>
          <w:lang w:val="it-IT"/>
        </w:rPr>
        <w:t xml:space="preserve">, doit conduire au développement, au transfert et/ou à la mise en œuvre de pratiques innovantes au </w:t>
      </w:r>
      <w:r>
        <w:rPr>
          <w:rStyle w:val="Nessuno"/>
          <w:sz w:val="24"/>
          <w:szCs w:val="24"/>
          <w:lang w:val="it-IT"/>
        </w:rPr>
        <w:t>niveau organisationnel, local, régional, national ou européen. Les projets financés au titre de cette action clé sont également susceptibles d'avoir un impact positif sur les personnes impliquées directement ou indirectement dans les activités, comme une a</w:t>
      </w:r>
      <w:r>
        <w:rPr>
          <w:rStyle w:val="Nessuno"/>
          <w:sz w:val="24"/>
          <w:szCs w:val="24"/>
          <w:lang w:val="it-IT"/>
        </w:rPr>
        <w:t xml:space="preserve">ugmentation du niveau de compétence numérique. Par conséquent, l'impact de cette action clé devrait être, entre autres, une meilleure fourniture et évaluation des compétences de base et transversales, en particulier: l'esprit d'entreprise, les compétences </w:t>
      </w:r>
      <w:r>
        <w:rPr>
          <w:rStyle w:val="Nessuno"/>
          <w:sz w:val="24"/>
          <w:szCs w:val="24"/>
          <w:lang w:val="it-IT"/>
        </w:rPr>
        <w:t>sociales, civiques, interculturelles et linguistiques, la pensée critique, les compétences numériques et l'alphabétisation médiatique.</w:t>
      </w:r>
    </w:p>
    <w:p w:rsidR="00902C6E" w:rsidRDefault="00575269">
      <w:pPr>
        <w:pStyle w:val="Titolo2"/>
        <w:rPr>
          <w:rStyle w:val="Nessuno"/>
          <w:lang w:val="it-IT"/>
        </w:rPr>
      </w:pPr>
      <w:r>
        <w:rPr>
          <w:rStyle w:val="Nessuno"/>
          <w:lang w:val="it-IT"/>
        </w:rPr>
        <w:t xml:space="preserve">1.2 Concept de littératie en santé numérique </w:t>
      </w:r>
    </w:p>
    <w:p w:rsidR="00902C6E" w:rsidRDefault="00575269">
      <w:pPr>
        <w:rPr>
          <w:rStyle w:val="Nessuno"/>
          <w:sz w:val="24"/>
          <w:szCs w:val="24"/>
          <w:lang w:val="it-IT"/>
        </w:rPr>
      </w:pPr>
      <w:r>
        <w:rPr>
          <w:rStyle w:val="Nessuno"/>
          <w:sz w:val="24"/>
          <w:szCs w:val="24"/>
          <w:lang w:val="it-IT"/>
        </w:rPr>
        <w:t>La principale définition de la littératie en santé numérique, également uti</w:t>
      </w:r>
      <w:r>
        <w:rPr>
          <w:rStyle w:val="Nessuno"/>
          <w:sz w:val="24"/>
          <w:szCs w:val="24"/>
          <w:lang w:val="it-IT"/>
        </w:rPr>
        <w:t xml:space="preserve">lisée par l'Organisation mondiale de la santé (OMS, 2017), est celle développée par Norman et Skinner. Selon cette définition, la littératie en santé numérique est définie comme </w:t>
      </w:r>
      <w:proofErr w:type="gramStart"/>
      <w:r>
        <w:rPr>
          <w:rStyle w:val="Nessuno"/>
          <w:sz w:val="24"/>
          <w:szCs w:val="24"/>
          <w:lang w:val="it-IT"/>
        </w:rPr>
        <w:t>« [...]</w:t>
      </w:r>
      <w:proofErr w:type="gramEnd"/>
      <w:r>
        <w:rPr>
          <w:rStyle w:val="Nessuno"/>
          <w:sz w:val="24"/>
          <w:szCs w:val="24"/>
          <w:lang w:val="it-IT"/>
        </w:rPr>
        <w:t xml:space="preserve"> la capacité de </w:t>
      </w:r>
      <w:r>
        <w:rPr>
          <w:rStyle w:val="Nessuno"/>
          <w:sz w:val="24"/>
          <w:szCs w:val="24"/>
          <w:lang w:val="it-IT"/>
        </w:rPr>
        <w:lastRenderedPageBreak/>
        <w:t xml:space="preserve">rechercher, de trouver, de comprendre et d'évaluer des </w:t>
      </w:r>
      <w:r>
        <w:rPr>
          <w:rStyle w:val="Nessuno"/>
          <w:sz w:val="24"/>
          <w:szCs w:val="24"/>
          <w:lang w:val="it-IT"/>
        </w:rPr>
        <w:t>informations sur la santé à partir de sources électroniques et d'appliquer les connaissances acquises pour traiter ou résoudre un problème de santé » (Norman et Skinner , 2006).</w:t>
      </w:r>
    </w:p>
    <w:p w:rsidR="00902C6E" w:rsidRDefault="00575269">
      <w:pPr>
        <w:rPr>
          <w:rStyle w:val="Nessuno"/>
          <w:sz w:val="24"/>
          <w:szCs w:val="24"/>
          <w:lang w:val="it-IT"/>
        </w:rPr>
      </w:pPr>
      <w:r>
        <w:rPr>
          <w:rStyle w:val="Nessuno"/>
          <w:sz w:val="24"/>
          <w:szCs w:val="24"/>
          <w:lang w:val="it-IT"/>
        </w:rPr>
        <w:t>Cette définition donne une première idée de la signification de Digital Health</w:t>
      </w:r>
      <w:r>
        <w:rPr>
          <w:rStyle w:val="Nessuno"/>
          <w:sz w:val="24"/>
          <w:szCs w:val="24"/>
          <w:lang w:val="it-IT"/>
        </w:rPr>
        <w:t xml:space="preserve"> Literacy. Pour mieux comprendre le concept, il convient de jeter un œil aux différentes compétences qui y sont incluses. Il existe six types différents de </w:t>
      </w:r>
      <w:proofErr w:type="gramStart"/>
      <w:r>
        <w:rPr>
          <w:rStyle w:val="Nessuno"/>
          <w:sz w:val="24"/>
          <w:szCs w:val="24"/>
          <w:lang w:val="it-IT"/>
        </w:rPr>
        <w:t>« littératie</w:t>
      </w:r>
      <w:proofErr w:type="gramEnd"/>
      <w:r>
        <w:rPr>
          <w:rStyle w:val="Nessuno"/>
          <w:sz w:val="24"/>
          <w:szCs w:val="24"/>
          <w:lang w:val="it-IT"/>
        </w:rPr>
        <w:t> » qui sont regroupés sous le terme de littératie en santé numérique : 1) littératie tra</w:t>
      </w:r>
      <w:r>
        <w:rPr>
          <w:rStyle w:val="Nessuno"/>
          <w:sz w:val="24"/>
          <w:szCs w:val="24"/>
          <w:lang w:val="it-IT"/>
        </w:rPr>
        <w:t>ditionnelle 2) littératie en santé 3) littératie informationnelle 4) littératie scientifique 5) littératie médiatique 6) littératie informatique (Norman et Skinner, 2006) .</w:t>
      </w:r>
    </w:p>
    <w:p w:rsidR="00902C6E" w:rsidRDefault="00902C6E">
      <w:pPr>
        <w:rPr>
          <w:rStyle w:val="Nessuno"/>
          <w:sz w:val="24"/>
          <w:szCs w:val="24"/>
          <w:lang w:val="it-IT"/>
        </w:rPr>
      </w:pPr>
    </w:p>
    <w:p w:rsidR="00902C6E" w:rsidRDefault="00902C6E">
      <w:pPr>
        <w:rPr>
          <w:rStyle w:val="Nessuno"/>
          <w:sz w:val="24"/>
          <w:szCs w:val="24"/>
          <w:lang w:val="it-IT"/>
        </w:rPr>
      </w:pPr>
    </w:p>
    <w:p w:rsidR="00902C6E" w:rsidRDefault="00575269">
      <w:pPr>
        <w:spacing w:after="200" w:line="240" w:lineRule="auto"/>
        <w:rPr>
          <w:rStyle w:val="Nessuno"/>
          <w:i/>
          <w:iCs/>
          <w:color w:val="44546A"/>
          <w:sz w:val="18"/>
          <w:szCs w:val="18"/>
          <w:u w:color="44546A"/>
          <w:lang w:val="it-IT"/>
        </w:rPr>
      </w:pPr>
      <w:r>
        <w:rPr>
          <w:rStyle w:val="Nessuno"/>
          <w:noProof/>
          <w:lang w:val="it-IT"/>
        </w:rPr>
        <w:drawing>
          <wp:anchor distT="57150" distB="57150" distL="57150" distR="57150" simplePos="0" relativeHeight="251660288" behindDoc="0" locked="0" layoutInCell="1" allowOverlap="1">
            <wp:simplePos x="0" y="0"/>
            <wp:positionH relativeFrom="column">
              <wp:posOffset>9626</wp:posOffset>
            </wp:positionH>
            <wp:positionV relativeFrom="line">
              <wp:posOffset>199</wp:posOffset>
            </wp:positionV>
            <wp:extent cx="3705225" cy="3771900"/>
            <wp:effectExtent l="0" t="0" r="0" b="0"/>
            <wp:wrapSquare wrapText="bothSides" distT="57150" distB="57150" distL="57150" distR="57150"/>
            <wp:docPr id="1073741837" name="officeArt object" descr="Diagram, venn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7" name="Diagram, venn diagramDescription automatically generated" descr="Diagram, venn diagramDescription automatically generated"/>
                    <pic:cNvPicPr>
                      <a:picLocks noChangeAspect="1"/>
                    </pic:cNvPicPr>
                  </pic:nvPicPr>
                  <pic:blipFill>
                    <a:blip r:embed="rId24">
                      <a:extLst/>
                    </a:blip>
                    <a:stretch>
                      <a:fillRect/>
                    </a:stretch>
                  </pic:blipFill>
                  <pic:spPr>
                    <a:xfrm>
                      <a:off x="0" y="0"/>
                      <a:ext cx="3705225" cy="3771900"/>
                    </a:xfrm>
                    <a:prstGeom prst="rect">
                      <a:avLst/>
                    </a:prstGeom>
                    <a:ln w="12700" cap="flat">
                      <a:noFill/>
                      <a:miter lim="400000"/>
                    </a:ln>
                    <a:effectLst/>
                  </pic:spPr>
                </pic:pic>
              </a:graphicData>
            </a:graphic>
          </wp:anchor>
        </w:drawing>
      </w:r>
    </w:p>
    <w:p w:rsidR="00902C6E" w:rsidRDefault="00902C6E">
      <w:pPr>
        <w:spacing w:after="200" w:line="240" w:lineRule="auto"/>
        <w:rPr>
          <w:rStyle w:val="Nessuno"/>
          <w:i/>
          <w:iCs/>
          <w:color w:val="44546A"/>
          <w:sz w:val="18"/>
          <w:szCs w:val="18"/>
          <w:u w:color="44546A"/>
          <w:lang w:val="it-IT"/>
        </w:rPr>
      </w:pPr>
    </w:p>
    <w:p w:rsidR="00902C6E" w:rsidRDefault="00902C6E">
      <w:pPr>
        <w:spacing w:after="200" w:line="240" w:lineRule="auto"/>
        <w:rPr>
          <w:rStyle w:val="Nessuno"/>
          <w:i/>
          <w:iCs/>
          <w:color w:val="44546A"/>
          <w:sz w:val="18"/>
          <w:szCs w:val="18"/>
          <w:u w:color="44546A"/>
          <w:lang w:val="it-IT"/>
        </w:rPr>
      </w:pPr>
    </w:p>
    <w:p w:rsidR="00902C6E" w:rsidRDefault="00902C6E">
      <w:pPr>
        <w:spacing w:after="200" w:line="240" w:lineRule="auto"/>
        <w:rPr>
          <w:rStyle w:val="Nessuno"/>
          <w:i/>
          <w:iCs/>
          <w:color w:val="44546A"/>
          <w:sz w:val="18"/>
          <w:szCs w:val="18"/>
          <w:u w:color="44546A"/>
          <w:lang w:val="it-IT"/>
        </w:rPr>
      </w:pPr>
    </w:p>
    <w:p w:rsidR="00902C6E" w:rsidRDefault="00902C6E">
      <w:pPr>
        <w:spacing w:after="200" w:line="240" w:lineRule="auto"/>
        <w:rPr>
          <w:rStyle w:val="Nessuno"/>
          <w:i/>
          <w:iCs/>
          <w:color w:val="44546A"/>
          <w:sz w:val="18"/>
          <w:szCs w:val="18"/>
          <w:u w:color="44546A"/>
          <w:lang w:val="it-IT"/>
        </w:rPr>
      </w:pPr>
    </w:p>
    <w:p w:rsidR="00902C6E" w:rsidRDefault="00902C6E">
      <w:pPr>
        <w:spacing w:after="200" w:line="240" w:lineRule="auto"/>
        <w:rPr>
          <w:rStyle w:val="Nessuno"/>
          <w:i/>
          <w:iCs/>
          <w:color w:val="44546A"/>
          <w:sz w:val="18"/>
          <w:szCs w:val="18"/>
          <w:u w:color="44546A"/>
          <w:lang w:val="it-IT"/>
        </w:rPr>
      </w:pPr>
    </w:p>
    <w:p w:rsidR="00902C6E" w:rsidRDefault="00902C6E">
      <w:pPr>
        <w:spacing w:after="200" w:line="240" w:lineRule="auto"/>
        <w:rPr>
          <w:rStyle w:val="Nessuno"/>
          <w:i/>
          <w:iCs/>
          <w:color w:val="44546A"/>
          <w:sz w:val="18"/>
          <w:szCs w:val="18"/>
          <w:u w:color="44546A"/>
          <w:lang w:val="it-IT"/>
        </w:rPr>
      </w:pPr>
    </w:p>
    <w:p w:rsidR="00902C6E" w:rsidRDefault="00902C6E">
      <w:pPr>
        <w:spacing w:after="200" w:line="240" w:lineRule="auto"/>
        <w:rPr>
          <w:rStyle w:val="Nessuno"/>
          <w:i/>
          <w:iCs/>
          <w:color w:val="44546A"/>
          <w:sz w:val="18"/>
          <w:szCs w:val="18"/>
          <w:u w:color="44546A"/>
          <w:lang w:val="it-IT"/>
        </w:rPr>
      </w:pPr>
    </w:p>
    <w:p w:rsidR="00902C6E" w:rsidRDefault="00902C6E">
      <w:pPr>
        <w:spacing w:after="200" w:line="240" w:lineRule="auto"/>
        <w:rPr>
          <w:rStyle w:val="Nessuno"/>
          <w:i/>
          <w:iCs/>
          <w:color w:val="44546A"/>
          <w:sz w:val="18"/>
          <w:szCs w:val="18"/>
          <w:u w:color="44546A"/>
          <w:lang w:val="it-IT"/>
        </w:rPr>
      </w:pPr>
    </w:p>
    <w:p w:rsidR="00902C6E" w:rsidRDefault="00902C6E">
      <w:pPr>
        <w:spacing w:after="200" w:line="240" w:lineRule="auto"/>
        <w:rPr>
          <w:rStyle w:val="Nessuno"/>
          <w:i/>
          <w:iCs/>
          <w:color w:val="44546A"/>
          <w:sz w:val="18"/>
          <w:szCs w:val="18"/>
          <w:u w:color="44546A"/>
          <w:lang w:val="it-IT"/>
        </w:rPr>
      </w:pPr>
    </w:p>
    <w:p w:rsidR="00902C6E" w:rsidRDefault="00902C6E">
      <w:pPr>
        <w:spacing w:after="200" w:line="240" w:lineRule="auto"/>
        <w:rPr>
          <w:rStyle w:val="Nessuno"/>
          <w:i/>
          <w:iCs/>
          <w:color w:val="44546A"/>
          <w:sz w:val="18"/>
          <w:szCs w:val="18"/>
          <w:u w:color="44546A"/>
          <w:lang w:val="it-IT"/>
        </w:rPr>
      </w:pPr>
    </w:p>
    <w:p w:rsidR="00902C6E" w:rsidRDefault="00902C6E">
      <w:pPr>
        <w:spacing w:after="200" w:line="240" w:lineRule="auto"/>
        <w:rPr>
          <w:rStyle w:val="Nessuno"/>
          <w:i/>
          <w:iCs/>
          <w:color w:val="44546A"/>
          <w:sz w:val="18"/>
          <w:szCs w:val="18"/>
          <w:u w:color="44546A"/>
          <w:lang w:val="it-IT"/>
        </w:rPr>
      </w:pPr>
    </w:p>
    <w:p w:rsidR="00902C6E" w:rsidRDefault="00902C6E">
      <w:pPr>
        <w:spacing w:after="200" w:line="240" w:lineRule="auto"/>
        <w:rPr>
          <w:rStyle w:val="Nessuno"/>
          <w:i/>
          <w:iCs/>
          <w:color w:val="44546A"/>
          <w:sz w:val="18"/>
          <w:szCs w:val="18"/>
          <w:u w:color="44546A"/>
          <w:lang w:val="it-IT"/>
        </w:rPr>
      </w:pPr>
    </w:p>
    <w:p w:rsidR="00902C6E" w:rsidRDefault="00902C6E">
      <w:pPr>
        <w:spacing w:after="200" w:line="240" w:lineRule="auto"/>
        <w:rPr>
          <w:rStyle w:val="Nessuno"/>
          <w:i/>
          <w:iCs/>
          <w:color w:val="44546A"/>
          <w:sz w:val="18"/>
          <w:szCs w:val="18"/>
          <w:u w:color="44546A"/>
          <w:lang w:val="it-IT"/>
        </w:rPr>
      </w:pPr>
    </w:p>
    <w:p w:rsidR="00902C6E" w:rsidRDefault="00902C6E">
      <w:pPr>
        <w:spacing w:after="200" w:line="240" w:lineRule="auto"/>
        <w:rPr>
          <w:rStyle w:val="Nessuno"/>
          <w:i/>
          <w:iCs/>
          <w:color w:val="44546A"/>
          <w:sz w:val="18"/>
          <w:szCs w:val="18"/>
          <w:u w:color="44546A"/>
          <w:lang w:val="it-IT"/>
        </w:rPr>
      </w:pPr>
    </w:p>
    <w:p w:rsidR="00902C6E" w:rsidRDefault="00575269">
      <w:pPr>
        <w:spacing w:after="200" w:line="240" w:lineRule="auto"/>
        <w:rPr>
          <w:rStyle w:val="Nessuno"/>
          <w:i/>
          <w:iCs/>
          <w:sz w:val="24"/>
          <w:szCs w:val="24"/>
          <w:lang w:val="it-IT"/>
        </w:rPr>
      </w:pPr>
      <w:r>
        <w:rPr>
          <w:rStyle w:val="Nessuno"/>
          <w:i/>
          <w:iCs/>
          <w:color w:val="44546A"/>
          <w:sz w:val="18"/>
          <w:szCs w:val="18"/>
          <w:u w:color="44546A"/>
          <w:lang w:val="it-IT"/>
        </w:rPr>
        <w:t xml:space="preserve">Figure </w:t>
      </w:r>
      <w:proofErr w:type="gramStart"/>
      <w:r>
        <w:rPr>
          <w:rStyle w:val="Nessuno"/>
          <w:i/>
          <w:iCs/>
          <w:color w:val="44546A"/>
          <w:sz w:val="18"/>
          <w:szCs w:val="18"/>
          <w:u w:color="44546A"/>
          <w:lang w:val="it-IT"/>
        </w:rPr>
        <w:t>1 :</w:t>
      </w:r>
      <w:proofErr w:type="gramEnd"/>
      <w:r>
        <w:rPr>
          <w:rStyle w:val="Nessuno"/>
          <w:i/>
          <w:iCs/>
          <w:color w:val="44546A"/>
          <w:sz w:val="18"/>
          <w:szCs w:val="18"/>
          <w:u w:color="44546A"/>
          <w:lang w:val="it-IT"/>
        </w:rPr>
        <w:t xml:space="preserve"> Modèle d'alphabétisation et de santé (Norman e </w:t>
      </w:r>
      <w:r>
        <w:rPr>
          <w:rStyle w:val="Nessuno"/>
          <w:i/>
          <w:iCs/>
          <w:color w:val="44546A"/>
          <w:sz w:val="18"/>
          <w:szCs w:val="18"/>
          <w:u w:color="44546A"/>
          <w:lang w:val="it-IT"/>
        </w:rPr>
        <w:t>Skinner, 2006)</w:t>
      </w:r>
    </w:p>
    <w:p w:rsidR="00902C6E" w:rsidRDefault="00575269">
      <w:pPr>
        <w:rPr>
          <w:rStyle w:val="Nessuno"/>
          <w:sz w:val="24"/>
          <w:szCs w:val="24"/>
          <w:lang w:val="it-IT"/>
        </w:rPr>
      </w:pPr>
      <w:r>
        <w:rPr>
          <w:rStyle w:val="Nessuno"/>
          <w:sz w:val="24"/>
          <w:szCs w:val="24"/>
          <w:lang w:val="it-IT"/>
        </w:rPr>
        <w:t>Dans le projet MIG-DHL, nous nous sommes basés sur cette définition et, surtout, sur les dimensions de Digital Health Literacy proposées par van der Vaart &amp; Drossaert (van der Vaart &amp; Drossaert, 2017). Dans leur article, Development of the D</w:t>
      </w:r>
      <w:r>
        <w:rPr>
          <w:rStyle w:val="Nessuno"/>
          <w:sz w:val="24"/>
          <w:szCs w:val="24"/>
          <w:lang w:val="it-IT"/>
        </w:rPr>
        <w:t xml:space="preserve">igital Health Literacy Instrument: </w:t>
      </w:r>
      <w:r>
        <w:rPr>
          <w:rStyle w:val="Nessuno"/>
          <w:sz w:val="24"/>
          <w:szCs w:val="24"/>
          <w:lang w:val="it-IT"/>
        </w:rPr>
        <w:lastRenderedPageBreak/>
        <w:t xml:space="preserve">Measuring a Broad Spectrum of Health 1.0 and Health 2.0 Skills, les auteurs identifient et décrivent 7 dimensions différentes de la littératie en santé numérique, sous </w:t>
      </w:r>
      <w:proofErr w:type="gramStart"/>
      <w:r>
        <w:rPr>
          <w:rStyle w:val="Nessuno"/>
          <w:sz w:val="24"/>
          <w:szCs w:val="24"/>
          <w:lang w:val="it-IT"/>
        </w:rPr>
        <w:t>la forme</w:t>
      </w:r>
      <w:proofErr w:type="gramEnd"/>
      <w:r>
        <w:rPr>
          <w:rStyle w:val="Nessuno"/>
          <w:sz w:val="24"/>
          <w:szCs w:val="24"/>
          <w:lang w:val="it-IT"/>
        </w:rPr>
        <w:t xml:space="preserve"> suivante:</w:t>
      </w:r>
    </w:p>
    <w:p w:rsidR="00902C6E" w:rsidRDefault="00575269">
      <w:pPr>
        <w:rPr>
          <w:rStyle w:val="Nessuno"/>
          <w:sz w:val="24"/>
          <w:szCs w:val="24"/>
          <w:lang w:val="it-IT"/>
        </w:rPr>
      </w:pPr>
      <w:r>
        <w:rPr>
          <w:rStyle w:val="Nessuno"/>
          <w:b/>
          <w:bCs/>
          <w:sz w:val="24"/>
          <w:szCs w:val="24"/>
          <w:lang w:val="it-IT"/>
        </w:rPr>
        <w:t>(1) Compétences opérationnelles:</w:t>
      </w:r>
      <w:r>
        <w:rPr>
          <w:rStyle w:val="Nessuno"/>
          <w:sz w:val="24"/>
          <w:szCs w:val="24"/>
          <w:lang w:val="it-IT"/>
        </w:rPr>
        <w:t xml:space="preserve"> s</w:t>
      </w:r>
      <w:r>
        <w:rPr>
          <w:rStyle w:val="Nessuno"/>
          <w:sz w:val="24"/>
          <w:szCs w:val="24"/>
          <w:lang w:val="it-IT"/>
        </w:rPr>
        <w:t xml:space="preserve">avoir utiliser l'ordinateur et le navigateur </w:t>
      </w:r>
      <w:r>
        <w:rPr>
          <w:rStyle w:val="Nessuno"/>
          <w:i/>
          <w:iCs/>
          <w:sz w:val="24"/>
          <w:szCs w:val="24"/>
          <w:lang w:val="it-IT"/>
        </w:rPr>
        <w:t>Internet</w:t>
      </w:r>
      <w:r>
        <w:rPr>
          <w:rStyle w:val="Nessuno"/>
          <w:sz w:val="24"/>
          <w:szCs w:val="24"/>
          <w:lang w:val="it-IT"/>
        </w:rPr>
        <w:t>; utiliser le clavier de l'ordinateur (par exemple, être capable de taper des mots); utiliser la souris (par exemple, savoir positionner le curseur dans le bon champ ou savoir cliquer); utiliser des bout</w:t>
      </w:r>
      <w:r>
        <w:rPr>
          <w:rStyle w:val="Nessuno"/>
          <w:sz w:val="24"/>
          <w:szCs w:val="24"/>
          <w:lang w:val="it-IT"/>
        </w:rPr>
        <w:t>ons ou des liens et des hyperliens sur des sites Web.</w:t>
      </w:r>
    </w:p>
    <w:p w:rsidR="00902C6E" w:rsidRDefault="00575269">
      <w:pPr>
        <w:rPr>
          <w:rStyle w:val="Nessuno"/>
          <w:sz w:val="24"/>
          <w:szCs w:val="24"/>
          <w:lang w:val="it-IT"/>
        </w:rPr>
      </w:pPr>
      <w:r>
        <w:rPr>
          <w:rStyle w:val="Nessuno"/>
          <w:b/>
          <w:bCs/>
          <w:sz w:val="24"/>
          <w:szCs w:val="24"/>
          <w:lang w:val="it-IT"/>
        </w:rPr>
        <w:t>(2) Compétences en navigation:</w:t>
      </w:r>
      <w:r>
        <w:rPr>
          <w:rStyle w:val="Nessuno"/>
          <w:sz w:val="24"/>
          <w:szCs w:val="24"/>
          <w:lang w:val="it-IT"/>
        </w:rPr>
        <w:t xml:space="preserve"> savoir naviguer et s'orienter sur le Web; par exemple, ne perdez pas de vue votre position sur un site Web ou sur </w:t>
      </w:r>
      <w:proofErr w:type="gramStart"/>
      <w:r>
        <w:rPr>
          <w:rStyle w:val="Nessuno"/>
          <w:sz w:val="24"/>
          <w:szCs w:val="24"/>
          <w:lang w:val="it-IT"/>
        </w:rPr>
        <w:t>Internet ;</w:t>
      </w:r>
      <w:proofErr w:type="gramEnd"/>
      <w:r>
        <w:rPr>
          <w:rStyle w:val="Nessuno"/>
          <w:sz w:val="24"/>
          <w:szCs w:val="24"/>
          <w:lang w:val="it-IT"/>
        </w:rPr>
        <w:t xml:space="preserve"> savoir revenir à une page précédente ; cliquez</w:t>
      </w:r>
      <w:r>
        <w:rPr>
          <w:rStyle w:val="Nessuno"/>
          <w:sz w:val="24"/>
          <w:szCs w:val="24"/>
          <w:lang w:val="it-IT"/>
        </w:rPr>
        <w:t xml:space="preserve"> sur un hypertexte et voyez ce qui était attendu, pas quelque chose de différent.</w:t>
      </w:r>
    </w:p>
    <w:p w:rsidR="00902C6E" w:rsidRDefault="00575269">
      <w:pPr>
        <w:rPr>
          <w:rStyle w:val="Nessuno"/>
          <w:sz w:val="24"/>
          <w:szCs w:val="24"/>
          <w:lang w:val="it-IT"/>
        </w:rPr>
      </w:pPr>
      <w:r>
        <w:rPr>
          <w:rStyle w:val="Nessuno"/>
          <w:b/>
          <w:bCs/>
          <w:sz w:val="24"/>
          <w:szCs w:val="24"/>
          <w:lang w:val="it-IT"/>
        </w:rPr>
        <w:t>(3) Compétences en recherche d'informations:</w:t>
      </w:r>
      <w:r>
        <w:rPr>
          <w:rStyle w:val="Nessuno"/>
          <w:sz w:val="24"/>
          <w:szCs w:val="24"/>
          <w:lang w:val="it-IT"/>
        </w:rPr>
        <w:t xml:space="preserve"> savoir utiliser les bonnes stratégies de recherche; savoir utiliser les mots de recherche ou les requêtes appropriés pour trouver</w:t>
      </w:r>
      <w:r>
        <w:rPr>
          <w:rStyle w:val="Nessuno"/>
          <w:sz w:val="24"/>
          <w:szCs w:val="24"/>
          <w:lang w:val="it-IT"/>
        </w:rPr>
        <w:t xml:space="preserve"> les informations que vous recherchez; pouvoir faire un choix parmi toutes les informations trouvées; trouver les informations exactes que vous recherchez.</w:t>
      </w:r>
    </w:p>
    <w:p w:rsidR="00902C6E" w:rsidRDefault="00575269">
      <w:pPr>
        <w:rPr>
          <w:rStyle w:val="Nessuno"/>
          <w:sz w:val="24"/>
          <w:szCs w:val="24"/>
          <w:lang w:val="it-IT"/>
        </w:rPr>
      </w:pPr>
      <w:r>
        <w:rPr>
          <w:rStyle w:val="Nessuno"/>
          <w:b/>
          <w:bCs/>
          <w:sz w:val="24"/>
          <w:szCs w:val="24"/>
          <w:lang w:val="it-IT"/>
        </w:rPr>
        <w:t xml:space="preserve">(4) Évaluer la fiabilité des informations sur </w:t>
      </w:r>
      <w:proofErr w:type="gramStart"/>
      <w:r>
        <w:rPr>
          <w:rStyle w:val="Nessuno"/>
          <w:b/>
          <w:bCs/>
          <w:sz w:val="24"/>
          <w:szCs w:val="24"/>
          <w:lang w:val="it-IT"/>
        </w:rPr>
        <w:t>le net</w:t>
      </w:r>
      <w:proofErr w:type="gramEnd"/>
      <w:r>
        <w:rPr>
          <w:rStyle w:val="Nessuno"/>
          <w:b/>
          <w:bCs/>
          <w:sz w:val="24"/>
          <w:szCs w:val="24"/>
          <w:lang w:val="it-IT"/>
        </w:rPr>
        <w:t>:</w:t>
      </w:r>
      <w:r>
        <w:rPr>
          <w:rStyle w:val="Nessuno"/>
          <w:sz w:val="24"/>
          <w:szCs w:val="24"/>
          <w:lang w:val="it-IT"/>
        </w:rPr>
        <w:t xml:space="preserve"> décider si les informations sont fiables ou no</w:t>
      </w:r>
      <w:r>
        <w:rPr>
          <w:rStyle w:val="Nessuno"/>
          <w:sz w:val="24"/>
          <w:szCs w:val="24"/>
          <w:lang w:val="it-IT"/>
        </w:rPr>
        <w:t>n; décider si les informations sont rédigées à des fins commerciales (par exemple, par des personnes essayant de vendre un produit); consultez différents sites Web pour voir s'ils fournissent les mêmes informations.</w:t>
      </w:r>
    </w:p>
    <w:p w:rsidR="00902C6E" w:rsidRDefault="00575269">
      <w:pPr>
        <w:rPr>
          <w:rStyle w:val="Nessuno"/>
          <w:sz w:val="24"/>
          <w:szCs w:val="24"/>
          <w:lang w:val="it-IT"/>
        </w:rPr>
      </w:pPr>
      <w:r>
        <w:rPr>
          <w:rStyle w:val="Nessuno"/>
          <w:b/>
          <w:bCs/>
          <w:sz w:val="24"/>
          <w:szCs w:val="24"/>
          <w:lang w:val="it-IT"/>
        </w:rPr>
        <w:t xml:space="preserve">(5) Déterminer la pertinence des </w:t>
      </w:r>
      <w:r>
        <w:rPr>
          <w:rStyle w:val="Nessuno"/>
          <w:b/>
          <w:bCs/>
          <w:sz w:val="24"/>
          <w:szCs w:val="24"/>
          <w:lang w:val="it-IT"/>
        </w:rPr>
        <w:t>informations en ligne:</w:t>
      </w:r>
      <w:r>
        <w:rPr>
          <w:rStyle w:val="Nessuno"/>
          <w:sz w:val="24"/>
          <w:szCs w:val="24"/>
          <w:lang w:val="it-IT"/>
        </w:rPr>
        <w:t xml:space="preserve"> décider si les informations trouvées s'appliquent à vous; appliquer les informations trouvées dans votre vie quotidienne; savoir comment utiliser les informations trouvées pour prendre des décisions concernant votre santé (par exempl</w:t>
      </w:r>
      <w:r>
        <w:rPr>
          <w:rStyle w:val="Nessuno"/>
          <w:sz w:val="24"/>
          <w:szCs w:val="24"/>
          <w:lang w:val="it-IT"/>
        </w:rPr>
        <w:t>e, sur la nutrition, les médicaments ou pour décider de demander ou non l'avis d'un médecin).</w:t>
      </w:r>
    </w:p>
    <w:p w:rsidR="00902C6E" w:rsidRDefault="00575269">
      <w:pPr>
        <w:rPr>
          <w:rStyle w:val="Nessuno"/>
          <w:sz w:val="24"/>
          <w:szCs w:val="24"/>
          <w:lang w:val="it-IT"/>
        </w:rPr>
      </w:pPr>
      <w:r>
        <w:rPr>
          <w:rStyle w:val="Nessuno"/>
          <w:b/>
          <w:bCs/>
          <w:sz w:val="24"/>
          <w:szCs w:val="24"/>
          <w:lang w:val="it-IT"/>
        </w:rPr>
        <w:t>(6) Ajouter votre propre contenu aux plateformes et applications Web:</w:t>
      </w:r>
      <w:r>
        <w:rPr>
          <w:rStyle w:val="Nessuno"/>
          <w:sz w:val="24"/>
          <w:szCs w:val="24"/>
          <w:lang w:val="it-IT"/>
        </w:rPr>
        <w:t xml:space="preserve"> par exemple, pour formuler clairement votre question ou préoccupation concernant les problèm</w:t>
      </w:r>
      <w:r>
        <w:rPr>
          <w:rStyle w:val="Nessuno"/>
          <w:sz w:val="24"/>
          <w:szCs w:val="24"/>
          <w:lang w:val="it-IT"/>
        </w:rPr>
        <w:t>es de santé; être capable d'exprimer son opinion, ses pensées ou ses sentiments par écrit; être capable d'écrire votre message en tant que tel, afin que les gens comprennent exactement ce que vous voulez dire.</w:t>
      </w:r>
    </w:p>
    <w:p w:rsidR="00902C6E" w:rsidRDefault="00575269">
      <w:pPr>
        <w:rPr>
          <w:rStyle w:val="Nessuno"/>
          <w:sz w:val="24"/>
          <w:szCs w:val="24"/>
          <w:lang w:val="it-IT"/>
        </w:rPr>
      </w:pPr>
      <w:r>
        <w:rPr>
          <w:rStyle w:val="Nessuno"/>
          <w:b/>
          <w:bCs/>
          <w:sz w:val="24"/>
          <w:szCs w:val="24"/>
          <w:lang w:val="it-IT"/>
        </w:rPr>
        <w:lastRenderedPageBreak/>
        <w:t>(7) Protéger et respecter la vie privée lors d</w:t>
      </w:r>
      <w:r>
        <w:rPr>
          <w:rStyle w:val="Nessuno"/>
          <w:b/>
          <w:bCs/>
          <w:sz w:val="24"/>
          <w:szCs w:val="24"/>
          <w:lang w:val="it-IT"/>
        </w:rPr>
        <w:t>e l'utilisation d'Internet:</w:t>
      </w:r>
      <w:r>
        <w:rPr>
          <w:rStyle w:val="Nessuno"/>
          <w:sz w:val="24"/>
          <w:szCs w:val="24"/>
          <w:lang w:val="it-IT"/>
        </w:rPr>
        <w:t xml:space="preserve"> par exemple, avoir du mal à juger qui peut lire lorsque vous publiez un message sur un forum public ou sur les réseaux sociaux, partager (intentionnellement ou non) vos informations privées (par exemple, nom ou adresse</w:t>
      </w:r>
      <w:proofErr w:type="gramStart"/>
      <w:r>
        <w:rPr>
          <w:rStyle w:val="Nessuno"/>
          <w:sz w:val="24"/>
          <w:szCs w:val="24"/>
          <w:lang w:val="it-IT"/>
        </w:rPr>
        <w:t>) ;</w:t>
      </w:r>
      <w:proofErr w:type="gramEnd"/>
      <w:r>
        <w:rPr>
          <w:rStyle w:val="Nessuno"/>
          <w:sz w:val="24"/>
          <w:szCs w:val="24"/>
          <w:lang w:val="it-IT"/>
        </w:rPr>
        <w:t xml:space="preserve"> partag</w:t>
      </w:r>
      <w:r>
        <w:rPr>
          <w:rStyle w:val="Nessuno"/>
          <w:sz w:val="24"/>
          <w:szCs w:val="24"/>
          <w:lang w:val="it-IT"/>
        </w:rPr>
        <w:t>er (intentionnellement ou non) les informations privées de quelqu'un d'autre.</w:t>
      </w:r>
    </w:p>
    <w:p w:rsidR="00902C6E" w:rsidRDefault="00575269">
      <w:pPr>
        <w:pStyle w:val="Titolo2"/>
        <w:rPr>
          <w:rStyle w:val="Nessuno"/>
          <w:lang w:val="it-IT"/>
        </w:rPr>
      </w:pPr>
      <w:r>
        <w:rPr>
          <w:rStyle w:val="Nessuno"/>
          <w:lang w:val="it-IT"/>
        </w:rPr>
        <w:t xml:space="preserve">1.3 La pertinence de la Digital Health Literacy pour les migrants </w:t>
      </w:r>
    </w:p>
    <w:p w:rsidR="00902C6E" w:rsidRDefault="00575269">
      <w:pPr>
        <w:rPr>
          <w:rStyle w:val="Nessuno"/>
          <w:sz w:val="24"/>
          <w:szCs w:val="24"/>
          <w:lang w:val="it-IT"/>
        </w:rPr>
      </w:pPr>
      <w:r>
        <w:rPr>
          <w:rStyle w:val="Nessuno"/>
          <w:sz w:val="24"/>
          <w:szCs w:val="24"/>
          <w:lang w:val="it-IT"/>
        </w:rPr>
        <w:t>L'inclusion numérique se définit par trois aspects fondamentaux: être capable d'accéder à un appareil numérique</w:t>
      </w:r>
      <w:r>
        <w:rPr>
          <w:rStyle w:val="Nessuno"/>
          <w:sz w:val="24"/>
          <w:szCs w:val="24"/>
          <w:lang w:val="it-IT"/>
        </w:rPr>
        <w:t xml:space="preserve"> et à internet et avoir des compétences dans l'utilisation de ces deux outils. Il ne suffit pas d'avoir un ordinateur et un accès à Internet pour qu'une personne fasse l'expérience de </w:t>
      </w:r>
      <w:proofErr w:type="gramStart"/>
      <w:r>
        <w:rPr>
          <w:rStyle w:val="Nessuno"/>
          <w:sz w:val="24"/>
          <w:szCs w:val="24"/>
          <w:lang w:val="it-IT"/>
        </w:rPr>
        <w:t>« l'inclusion</w:t>
      </w:r>
      <w:proofErr w:type="gramEnd"/>
      <w:r>
        <w:rPr>
          <w:rStyle w:val="Nessuno"/>
          <w:sz w:val="24"/>
          <w:szCs w:val="24"/>
          <w:lang w:val="it-IT"/>
        </w:rPr>
        <w:t xml:space="preserve"> sociale » par le biais du numérique, mais encore faut-il q</w:t>
      </w:r>
      <w:r>
        <w:rPr>
          <w:rStyle w:val="Nessuno"/>
          <w:sz w:val="24"/>
          <w:szCs w:val="24"/>
          <w:lang w:val="it-IT"/>
        </w:rPr>
        <w:t>u'elle sache utiliser ces deux outils. Pour cette raison, des personnes peuvent être socialement exclues car si elles ne connaissent pas les procédures télématiques et le fonctionnement des nouvelles technologies, cela peut limiter le développement de leur</w:t>
      </w:r>
      <w:r>
        <w:rPr>
          <w:rStyle w:val="Nessuno"/>
          <w:sz w:val="24"/>
          <w:szCs w:val="24"/>
          <w:lang w:val="it-IT"/>
        </w:rPr>
        <w:t xml:space="preserve"> plein potentiel et donc rendre difficile leur intégration dans la société. C'est à ce stade que les personnes peuvent vivre des processus d'exclusion et de dépendance vis-à-vis de ceux qui connaissent les outils informatiques et peuvent facilement consult</w:t>
      </w:r>
      <w:r>
        <w:rPr>
          <w:rStyle w:val="Nessuno"/>
          <w:sz w:val="24"/>
          <w:szCs w:val="24"/>
          <w:lang w:val="it-IT"/>
        </w:rPr>
        <w:t xml:space="preserve">er et demander certains types de services, en particulier ceux qui ne peuvent être demandés qu'en ligne. Cette dépendance peut conduire les personnes à payer pour être aidées à effectuer les démarches télématiques dont elles ont besoin alors que celles-ci </w:t>
      </w:r>
      <w:r>
        <w:rPr>
          <w:rStyle w:val="Nessuno"/>
          <w:sz w:val="24"/>
          <w:szCs w:val="24"/>
          <w:lang w:val="it-IT"/>
        </w:rPr>
        <w:t>ne devraient avoir aucun coût (Parra et Vásquez, 2020).</w:t>
      </w:r>
    </w:p>
    <w:p w:rsidR="00902C6E" w:rsidRDefault="00575269">
      <w:pPr>
        <w:rPr>
          <w:rStyle w:val="Nessuno"/>
          <w:sz w:val="24"/>
          <w:szCs w:val="24"/>
          <w:lang w:val="it-IT"/>
        </w:rPr>
      </w:pPr>
      <w:r>
        <w:rPr>
          <w:rStyle w:val="Nessuno"/>
          <w:b/>
          <w:bCs/>
          <w:sz w:val="24"/>
          <w:szCs w:val="24"/>
          <w:lang w:val="it-IT"/>
        </w:rPr>
        <w:t xml:space="preserve">Cela est évident dans le cas des immigrants, car le manque de connaissances numériques représente un obstacle supplémentaire à leur pleine inclusion sociale. En particulier, une dynamique d'exclusion </w:t>
      </w:r>
      <w:r>
        <w:rPr>
          <w:rStyle w:val="Nessuno"/>
          <w:b/>
          <w:bCs/>
          <w:sz w:val="24"/>
          <w:szCs w:val="24"/>
          <w:lang w:val="it-IT"/>
        </w:rPr>
        <w:t>peut affecter des groupes dont la situation socio-économique et culturelle est telle qu'ils ne peuvent accéder à divers procédés numériques par manque d'outils, de connaissance de leur fonctionnement ou encore simplement de la langue dans laquelle l'inform</w:t>
      </w:r>
      <w:r>
        <w:rPr>
          <w:rStyle w:val="Nessuno"/>
          <w:b/>
          <w:bCs/>
          <w:sz w:val="24"/>
          <w:szCs w:val="24"/>
          <w:lang w:val="it-IT"/>
        </w:rPr>
        <w:t xml:space="preserve">ation est véhiculée. </w:t>
      </w:r>
      <w:r>
        <w:rPr>
          <w:rStyle w:val="Nessuno"/>
          <w:sz w:val="24"/>
          <w:szCs w:val="24"/>
          <w:lang w:val="it-IT"/>
        </w:rPr>
        <w:t>Pour cette raison, il est courant que les immigrés se tournent vers des associations de compatriotes essayant de surmonter ce manque de connaissance de la technologie et de faciliter les procédures télématiques nécessaires à leur situa</w:t>
      </w:r>
      <w:r>
        <w:rPr>
          <w:rStyle w:val="Nessuno"/>
          <w:sz w:val="24"/>
          <w:szCs w:val="24"/>
          <w:lang w:val="it-IT"/>
        </w:rPr>
        <w:t xml:space="preserve">tion, mais ils découvrent que le niveau même des technologies de l'information et de la communication utilisé par les associations d'immigrés est assez faible, avec seulement 46 % </w:t>
      </w:r>
      <w:r>
        <w:rPr>
          <w:rStyle w:val="Nessuno"/>
          <w:sz w:val="24"/>
          <w:szCs w:val="24"/>
          <w:lang w:val="it-IT"/>
        </w:rPr>
        <w:lastRenderedPageBreak/>
        <w:t>de toutes les associations de ce type ayant des modalités de présence sur le</w:t>
      </w:r>
      <w:r>
        <w:rPr>
          <w:rStyle w:val="Nessuno"/>
          <w:sz w:val="24"/>
          <w:szCs w:val="24"/>
          <w:lang w:val="it-IT"/>
        </w:rPr>
        <w:t xml:space="preserve"> Web (Parra et Vásquez, 2020).</w:t>
      </w:r>
    </w:p>
    <w:p w:rsidR="00902C6E" w:rsidRDefault="00575269">
      <w:pPr>
        <w:rPr>
          <w:rStyle w:val="Nessuno"/>
          <w:lang w:val="it-IT"/>
        </w:rPr>
      </w:pPr>
      <w:r>
        <w:rPr>
          <w:rStyle w:val="Nessuno"/>
          <w:sz w:val="24"/>
          <w:szCs w:val="24"/>
          <w:lang w:val="it-IT"/>
        </w:rPr>
        <w:t>La pertinence de cette forme de littératie numérique dans le domaine de la santé a été démontrée par des études récentes, qui ont mis en évidence la façon dont les compétences autoévaluées des personnes en matière d'utilisati</w:t>
      </w:r>
      <w:r>
        <w:rPr>
          <w:rStyle w:val="Nessuno"/>
          <w:sz w:val="24"/>
          <w:szCs w:val="24"/>
          <w:lang w:val="it-IT"/>
        </w:rPr>
        <w:t>on de l'information en ligne peuvent effectivement affecter leur santé, la qualité des soins de santé et l'accès aux services, et que le manque de telles compétences peut entraîner divers problèmes dans ces domaines. Hsu et al. (Hsu et al., 2014) ont const</w:t>
      </w:r>
      <w:r>
        <w:rPr>
          <w:rStyle w:val="Nessuno"/>
          <w:sz w:val="24"/>
          <w:szCs w:val="24"/>
          <w:lang w:val="it-IT"/>
        </w:rPr>
        <w:t>até que les compétences en santé numérique peuvent être associées à divers types de bonnes pratiques de santé, comme avoir une alimentation saine ou faire de l'exercice régulièrement. Neter et Brainin (Neter &amp; Brainin, 2012) ont établi un lien entre la lit</w:t>
      </w:r>
      <w:r>
        <w:rPr>
          <w:rStyle w:val="Nessuno"/>
          <w:sz w:val="24"/>
          <w:szCs w:val="24"/>
          <w:lang w:val="it-IT"/>
        </w:rPr>
        <w:t>tératie en santé numérique et la présence de maladies chroniques, soulignant comment une plus grande littératie de ce type garantit une capacité perçue d'autogestion et une meilleure compréhension de son état de santé, de ses symptômes et des traitements o</w:t>
      </w:r>
      <w:r>
        <w:rPr>
          <w:rStyle w:val="Nessuno"/>
          <w:sz w:val="24"/>
          <w:szCs w:val="24"/>
          <w:lang w:val="it-IT"/>
        </w:rPr>
        <w:t>ptionnels.</w:t>
      </w:r>
    </w:p>
    <w:p w:rsidR="00902C6E" w:rsidRDefault="00575269">
      <w:pPr>
        <w:rPr>
          <w:rStyle w:val="Nessuno"/>
          <w:sz w:val="24"/>
          <w:szCs w:val="24"/>
          <w:lang w:val="it-IT"/>
        </w:rPr>
      </w:pPr>
      <w:r>
        <w:rPr>
          <w:rStyle w:val="Nessuno"/>
          <w:rFonts w:eastAsia="Arial Unicode MS" w:cs="Arial Unicode MS"/>
          <w:b/>
          <w:bCs/>
          <w:sz w:val="24"/>
          <w:szCs w:val="24"/>
          <w:lang w:val="it-IT"/>
        </w:rPr>
        <w:t xml:space="preserve">Avertissement: </w:t>
      </w:r>
      <w:r>
        <w:rPr>
          <w:rStyle w:val="Nessuno"/>
          <w:rFonts w:eastAsia="Arial Unicode MS" w:cs="Arial Unicode MS"/>
          <w:sz w:val="24"/>
          <w:szCs w:val="24"/>
          <w:lang w:val="it-IT"/>
        </w:rPr>
        <w:t>les r</w:t>
      </w:r>
      <w:r>
        <w:rPr>
          <w:rStyle w:val="Nessuno"/>
          <w:rFonts w:eastAsia="Arial Unicode MS" w:cs="Arial Unicode MS"/>
          <w:sz w:val="24"/>
          <w:szCs w:val="24"/>
          <w:lang w:val="it-IT"/>
        </w:rPr>
        <w:t>é</w:t>
      </w:r>
      <w:r>
        <w:rPr>
          <w:rStyle w:val="Nessuno"/>
          <w:rFonts w:eastAsia="Arial Unicode MS" w:cs="Arial Unicode MS"/>
          <w:sz w:val="24"/>
          <w:szCs w:val="24"/>
          <w:lang w:val="it-IT"/>
        </w:rPr>
        <w:t>f</w:t>
      </w:r>
      <w:r>
        <w:rPr>
          <w:rStyle w:val="Nessuno"/>
          <w:rFonts w:eastAsia="Arial Unicode MS" w:cs="Arial Unicode MS"/>
          <w:sz w:val="24"/>
          <w:szCs w:val="24"/>
          <w:lang w:val="it-IT"/>
        </w:rPr>
        <w:t>é</w:t>
      </w:r>
      <w:r>
        <w:rPr>
          <w:rStyle w:val="Nessuno"/>
          <w:rFonts w:eastAsia="Arial Unicode MS" w:cs="Arial Unicode MS"/>
          <w:sz w:val="24"/>
          <w:szCs w:val="24"/>
          <w:lang w:val="it-IT"/>
        </w:rPr>
        <w:t>rences et sources d'information utilis</w:t>
      </w:r>
      <w:r>
        <w:rPr>
          <w:rStyle w:val="Nessuno"/>
          <w:rFonts w:eastAsia="Arial Unicode MS" w:cs="Arial Unicode MS"/>
          <w:sz w:val="24"/>
          <w:szCs w:val="24"/>
          <w:lang w:val="it-IT"/>
        </w:rPr>
        <w:t>é</w:t>
      </w:r>
      <w:r>
        <w:rPr>
          <w:rStyle w:val="Nessuno"/>
          <w:rFonts w:eastAsia="Arial Unicode MS" w:cs="Arial Unicode MS"/>
          <w:sz w:val="24"/>
          <w:szCs w:val="24"/>
          <w:lang w:val="it-IT"/>
        </w:rPr>
        <w:t>es dans la construction des mat</w:t>
      </w:r>
      <w:r>
        <w:rPr>
          <w:rStyle w:val="Nessuno"/>
          <w:rFonts w:eastAsia="Arial Unicode MS" w:cs="Arial Unicode MS"/>
          <w:sz w:val="24"/>
          <w:szCs w:val="24"/>
          <w:lang w:val="it-IT"/>
        </w:rPr>
        <w:t>é</w:t>
      </w:r>
      <w:r>
        <w:rPr>
          <w:rStyle w:val="Nessuno"/>
          <w:rFonts w:eastAsia="Arial Unicode MS" w:cs="Arial Unicode MS"/>
          <w:sz w:val="24"/>
          <w:szCs w:val="24"/>
          <w:lang w:val="it-IT"/>
        </w:rPr>
        <w:t>riaux proviennent, en g</w:t>
      </w:r>
      <w:r>
        <w:rPr>
          <w:rStyle w:val="Nessuno"/>
          <w:rFonts w:eastAsia="Arial Unicode MS" w:cs="Arial Unicode MS"/>
          <w:sz w:val="24"/>
          <w:szCs w:val="24"/>
          <w:lang w:val="it-IT"/>
        </w:rPr>
        <w:t>é</w:t>
      </w:r>
      <w:r>
        <w:rPr>
          <w:rStyle w:val="Nessuno"/>
          <w:rFonts w:eastAsia="Arial Unicode MS" w:cs="Arial Unicode MS"/>
          <w:sz w:val="24"/>
          <w:szCs w:val="24"/>
          <w:lang w:val="it-IT"/>
        </w:rPr>
        <w:t>n</w:t>
      </w:r>
      <w:r>
        <w:rPr>
          <w:rStyle w:val="Nessuno"/>
          <w:rFonts w:eastAsia="Arial Unicode MS" w:cs="Arial Unicode MS"/>
          <w:sz w:val="24"/>
          <w:szCs w:val="24"/>
          <w:lang w:val="it-IT"/>
        </w:rPr>
        <w:t>é</w:t>
      </w:r>
      <w:r>
        <w:rPr>
          <w:rStyle w:val="Nessuno"/>
          <w:rFonts w:eastAsia="Arial Unicode MS" w:cs="Arial Unicode MS"/>
          <w:sz w:val="24"/>
          <w:szCs w:val="24"/>
          <w:lang w:val="it-IT"/>
        </w:rPr>
        <w:t>ral, de l'OMS, de la Commission europ</w:t>
      </w:r>
      <w:r>
        <w:rPr>
          <w:rStyle w:val="Nessuno"/>
          <w:rFonts w:eastAsia="Arial Unicode MS" w:cs="Arial Unicode MS"/>
          <w:sz w:val="24"/>
          <w:szCs w:val="24"/>
          <w:lang w:val="it-IT"/>
        </w:rPr>
        <w:t>é</w:t>
      </w:r>
      <w:r>
        <w:rPr>
          <w:rStyle w:val="Nessuno"/>
          <w:rFonts w:eastAsia="Arial Unicode MS" w:cs="Arial Unicode MS"/>
          <w:sz w:val="24"/>
          <w:szCs w:val="24"/>
          <w:lang w:val="it-IT"/>
        </w:rPr>
        <w:t>enne et de sources et ressources sp</w:t>
      </w:r>
      <w:r>
        <w:rPr>
          <w:rStyle w:val="Nessuno"/>
          <w:rFonts w:eastAsia="Arial Unicode MS" w:cs="Arial Unicode MS"/>
          <w:sz w:val="24"/>
          <w:szCs w:val="24"/>
          <w:lang w:val="it-IT"/>
        </w:rPr>
        <w:t>é</w:t>
      </w:r>
      <w:r>
        <w:rPr>
          <w:rStyle w:val="Nessuno"/>
          <w:rFonts w:eastAsia="Arial Unicode MS" w:cs="Arial Unicode MS"/>
          <w:sz w:val="24"/>
          <w:szCs w:val="24"/>
          <w:lang w:val="it-IT"/>
        </w:rPr>
        <w:t>cialis</w:t>
      </w:r>
      <w:r>
        <w:rPr>
          <w:rStyle w:val="Nessuno"/>
          <w:rFonts w:eastAsia="Arial Unicode MS" w:cs="Arial Unicode MS"/>
          <w:sz w:val="24"/>
          <w:szCs w:val="24"/>
          <w:lang w:val="it-IT"/>
        </w:rPr>
        <w:t>é</w:t>
      </w:r>
      <w:r>
        <w:rPr>
          <w:rStyle w:val="Nessuno"/>
          <w:rFonts w:eastAsia="Arial Unicode MS" w:cs="Arial Unicode MS"/>
          <w:sz w:val="24"/>
          <w:szCs w:val="24"/>
          <w:lang w:val="it-IT"/>
        </w:rPr>
        <w:t>es dans chacun des pays membres du consortiu</w:t>
      </w:r>
      <w:r>
        <w:rPr>
          <w:rStyle w:val="Nessuno"/>
          <w:rFonts w:eastAsia="Arial Unicode MS" w:cs="Arial Unicode MS"/>
          <w:sz w:val="24"/>
          <w:szCs w:val="24"/>
          <w:lang w:val="it-IT"/>
        </w:rPr>
        <w:t>m. Pour plus d'informations, consultez le formulaire 5.</w:t>
      </w:r>
    </w:p>
    <w:p w:rsidR="00902C6E" w:rsidRDefault="00575269">
      <w:r>
        <w:rPr>
          <w:rStyle w:val="Nessuno"/>
          <w:rFonts w:ascii="Arial Unicode MS" w:eastAsia="Arial Unicode MS" w:hAnsi="Arial Unicode MS" w:cs="Arial Unicode MS"/>
          <w:lang w:val="it-IT"/>
        </w:rPr>
        <w:br w:type="page"/>
      </w:r>
    </w:p>
    <w:p w:rsidR="00902C6E" w:rsidRDefault="00575269">
      <w:pPr>
        <w:pStyle w:val="Titolo1"/>
        <w:rPr>
          <w:rStyle w:val="Nessuno"/>
          <w:lang w:val="it-IT"/>
        </w:rPr>
      </w:pPr>
      <w:r>
        <w:rPr>
          <w:rStyle w:val="Nessuno"/>
          <w:lang w:val="it-IT"/>
        </w:rPr>
        <w:lastRenderedPageBreak/>
        <w:t>Bibliographie</w:t>
      </w:r>
    </w:p>
    <w:p w:rsidR="00902C6E" w:rsidRDefault="00575269">
      <w:pPr>
        <w:rPr>
          <w:rStyle w:val="Nessuno"/>
          <w:lang w:val="it-IT"/>
        </w:rPr>
      </w:pPr>
      <w:r>
        <w:rPr>
          <w:rStyle w:val="Nessuno"/>
          <w:lang w:val="it-IT"/>
        </w:rPr>
        <w:t xml:space="preserve">Commissione europea (2022). Guida al programma ERASMUS +. Versione 2. </w:t>
      </w:r>
    </w:p>
    <w:p w:rsidR="00902C6E" w:rsidRDefault="00575269">
      <w:pPr>
        <w:rPr>
          <w:rStyle w:val="Nessuno"/>
          <w:lang w:val="it-IT"/>
        </w:rPr>
      </w:pPr>
      <w:r>
        <w:rPr>
          <w:rStyle w:val="Nessuno"/>
          <w:lang w:val="it-IT"/>
        </w:rPr>
        <w:t>Hsu W, Chiang C, Yang S. El efecto de los factores individuales en los comportamientos de salud entre los estudia</w:t>
      </w:r>
      <w:r>
        <w:rPr>
          <w:rStyle w:val="Nessuno"/>
          <w:lang w:val="it-IT"/>
        </w:rPr>
        <w:t>ntes universitarios: los efectos mediadores de la alfabetización eHealth. J Med Internet Res 2014;16(12</w:t>
      </w:r>
      <w:proofErr w:type="gramStart"/>
      <w:r>
        <w:rPr>
          <w:rStyle w:val="Nessuno"/>
          <w:lang w:val="it-IT"/>
        </w:rPr>
        <w:t>):e</w:t>
      </w:r>
      <w:proofErr w:type="gramEnd"/>
      <w:r>
        <w:rPr>
          <w:rStyle w:val="Nessuno"/>
          <w:lang w:val="it-IT"/>
        </w:rPr>
        <w:t>287 [FREE Full text] [doi: 10.2196/jmir.3542] [Medline:25499086]</w:t>
      </w:r>
    </w:p>
    <w:p w:rsidR="00902C6E" w:rsidRDefault="00575269">
      <w:pPr>
        <w:rPr>
          <w:rStyle w:val="Nessuno"/>
          <w:lang w:val="it-IT"/>
        </w:rPr>
      </w:pPr>
      <w:r>
        <w:rPr>
          <w:rStyle w:val="Nessuno"/>
          <w:lang w:val="it-IT"/>
        </w:rPr>
        <w:t>Neter E, Brainin E. eHealth literacy: extending the digital divide to the realm of he</w:t>
      </w:r>
      <w:r>
        <w:rPr>
          <w:rStyle w:val="Nessuno"/>
          <w:lang w:val="it-IT"/>
        </w:rPr>
        <w:t>alth information. J Med Internet Res 2012 Jan;14(1</w:t>
      </w:r>
      <w:proofErr w:type="gramStart"/>
      <w:r>
        <w:rPr>
          <w:rStyle w:val="Nessuno"/>
          <w:lang w:val="it-IT"/>
        </w:rPr>
        <w:t>):e</w:t>
      </w:r>
      <w:proofErr w:type="gramEnd"/>
      <w:r>
        <w:rPr>
          <w:rStyle w:val="Nessuno"/>
          <w:lang w:val="it-IT"/>
        </w:rPr>
        <w:t>19 [FREE Full text] [doi: 10.2196/jmir.1619] [Medline: 22357448]</w:t>
      </w:r>
    </w:p>
    <w:p w:rsidR="00902C6E" w:rsidRDefault="00575269">
      <w:pPr>
        <w:rPr>
          <w:rStyle w:val="Nessuno"/>
          <w:lang w:val="it-IT"/>
        </w:rPr>
      </w:pPr>
      <w:r>
        <w:rPr>
          <w:rStyle w:val="Nessuno"/>
          <w:lang w:val="it-IT"/>
        </w:rPr>
        <w:t xml:space="preserve">Norman, C.; Skinner, H. (2006). eHealth Literacy: Essential Skills for Consumer Health in a Networked World. </w:t>
      </w:r>
      <w:r>
        <w:rPr>
          <w:rStyle w:val="Nessuno"/>
          <w:i/>
          <w:iCs/>
          <w:lang w:val="it-IT"/>
        </w:rPr>
        <w:t xml:space="preserve">J Med Internet Res </w:t>
      </w:r>
      <w:r>
        <w:rPr>
          <w:rStyle w:val="Nessuno"/>
          <w:lang w:val="it-IT"/>
        </w:rPr>
        <w:t>8(2</w:t>
      </w:r>
      <w:proofErr w:type="gramStart"/>
      <w:r>
        <w:rPr>
          <w:rStyle w:val="Nessuno"/>
          <w:lang w:val="it-IT"/>
        </w:rPr>
        <w:t>):e</w:t>
      </w:r>
      <w:proofErr w:type="gramEnd"/>
      <w:r>
        <w:rPr>
          <w:rStyle w:val="Nessuno"/>
          <w:lang w:val="it-IT"/>
        </w:rPr>
        <w:t xml:space="preserve">9. </w:t>
      </w:r>
      <w:r>
        <w:rPr>
          <w:rStyle w:val="Nessuno"/>
          <w:lang w:val="it-IT"/>
        </w:rPr>
        <w:t>DOI: 10.2196/jmir.8.</w:t>
      </w:r>
      <w:proofErr w:type="gramStart"/>
      <w:r>
        <w:rPr>
          <w:rStyle w:val="Nessuno"/>
          <w:lang w:val="it-IT"/>
        </w:rPr>
        <w:t>2.e</w:t>
      </w:r>
      <w:proofErr w:type="gramEnd"/>
      <w:r>
        <w:rPr>
          <w:rStyle w:val="Nessuno"/>
          <w:lang w:val="it-IT"/>
        </w:rPr>
        <w:t>9</w:t>
      </w:r>
    </w:p>
    <w:p w:rsidR="00902C6E" w:rsidRDefault="00575269">
      <w:pPr>
        <w:rPr>
          <w:rStyle w:val="Nessuno"/>
          <w:lang w:val="it-IT"/>
        </w:rPr>
      </w:pPr>
      <w:r>
        <w:rPr>
          <w:rStyle w:val="Nessuno"/>
          <w:lang w:val="it-IT"/>
        </w:rPr>
        <w:t>Parra, J. C. T., y Vásquez, J. E. T. (2020). Uso de redes sociales y brecha digital en el tejido asociativo inmigrante en España. TERRA: Revista de Desarrollo Local, (7), 263- 284.</w:t>
      </w:r>
    </w:p>
    <w:p w:rsidR="00902C6E" w:rsidRDefault="00575269">
      <w:pPr>
        <w:rPr>
          <w:rStyle w:val="Nessuno"/>
          <w:lang w:val="it-IT"/>
        </w:rPr>
      </w:pPr>
      <w:r>
        <w:rPr>
          <w:rStyle w:val="Nessuno"/>
          <w:lang w:val="it-IT"/>
        </w:rPr>
        <w:t>van der Vaart, Rosalie y Drossaert, Constance. (20</w:t>
      </w:r>
      <w:r>
        <w:rPr>
          <w:rStyle w:val="Nessuno"/>
          <w:lang w:val="it-IT"/>
        </w:rPr>
        <w:t>17). Desarrollo del instrumento de alfabetización sanitaria digital: Midiendo un amplio espectro de habilidades de salud 1.0 y salud 2.0. Revista de investigación médica en Internet. 19. e27. 10.2196/jmir.6709.</w:t>
      </w:r>
    </w:p>
    <w:p w:rsidR="00902C6E" w:rsidRDefault="00575269">
      <w:pPr>
        <w:rPr>
          <w:rStyle w:val="Nessuno"/>
          <w:lang w:val="it-IT"/>
        </w:rPr>
      </w:pPr>
      <w:r>
        <w:rPr>
          <w:rStyle w:val="Nessuno"/>
          <w:lang w:val="it-IT"/>
        </w:rPr>
        <w:t>Organización Mundial de la Salud [OMS]. 2017.</w:t>
      </w:r>
      <w:r>
        <w:rPr>
          <w:rStyle w:val="Nessuno"/>
          <w:lang w:val="it-IT"/>
        </w:rPr>
        <w:t xml:space="preserve"> </w:t>
      </w:r>
      <w:r>
        <w:rPr>
          <w:rStyle w:val="Nessuno"/>
          <w:i/>
          <w:iCs/>
          <w:lang w:val="it-IT"/>
        </w:rPr>
        <w:t xml:space="preserve">Digital Health Literacy. </w:t>
      </w:r>
      <w:r>
        <w:rPr>
          <w:rStyle w:val="Nessuno"/>
          <w:lang w:val="it-IT"/>
        </w:rPr>
        <w:t>https://www.who.int/global-coordination-mechanism/working-groups/digital_hl.pdf</w:t>
      </w:r>
    </w:p>
    <w:p w:rsidR="00902C6E" w:rsidRDefault="00902C6E">
      <w:pPr>
        <w:rPr>
          <w:rStyle w:val="Nessuno"/>
          <w:sz w:val="24"/>
          <w:szCs w:val="24"/>
        </w:rPr>
      </w:pPr>
    </w:p>
    <w:p w:rsidR="00902C6E" w:rsidRDefault="00902C6E">
      <w:pPr>
        <w:rPr>
          <w:rStyle w:val="Nessuno"/>
          <w:sz w:val="24"/>
          <w:szCs w:val="24"/>
        </w:rPr>
      </w:pPr>
    </w:p>
    <w:p w:rsidR="00902C6E" w:rsidRDefault="00902C6E">
      <w:pPr>
        <w:ind w:left="1440"/>
        <w:rPr>
          <w:rStyle w:val="Nessuno"/>
          <w:sz w:val="24"/>
          <w:szCs w:val="24"/>
        </w:rPr>
      </w:pPr>
    </w:p>
    <w:p w:rsidR="00902C6E" w:rsidRDefault="00902C6E">
      <w:pPr>
        <w:rPr>
          <w:rStyle w:val="Nessuno"/>
          <w:sz w:val="24"/>
          <w:szCs w:val="24"/>
        </w:rPr>
      </w:pPr>
    </w:p>
    <w:p w:rsidR="00902C6E" w:rsidRDefault="00575269">
      <w:pPr>
        <w:rPr>
          <w:rStyle w:val="Nessuno"/>
          <w:sz w:val="24"/>
          <w:szCs w:val="24"/>
        </w:rPr>
      </w:pPr>
      <w:r>
        <w:rPr>
          <w:rStyle w:val="Nessuno"/>
          <w:rFonts w:eastAsia="Arial Unicode MS" w:cs="Arial Unicode MS"/>
          <w:sz w:val="24"/>
          <w:szCs w:val="24"/>
        </w:rPr>
        <w:t xml:space="preserve"> </w:t>
      </w:r>
    </w:p>
    <w:p w:rsidR="00902C6E" w:rsidRDefault="00902C6E">
      <w:pPr>
        <w:rPr>
          <w:rStyle w:val="Nessuno"/>
          <w:sz w:val="24"/>
          <w:szCs w:val="24"/>
        </w:rPr>
      </w:pPr>
    </w:p>
    <w:p w:rsidR="00902C6E" w:rsidRDefault="00902C6E">
      <w:pPr>
        <w:rPr>
          <w:rStyle w:val="Nessuno"/>
          <w:sz w:val="24"/>
          <w:szCs w:val="24"/>
        </w:rPr>
      </w:pPr>
    </w:p>
    <w:p w:rsidR="00902C6E" w:rsidRDefault="00902C6E"/>
    <w:sectPr w:rsidR="00902C6E">
      <w:headerReference w:type="default" r:id="rId25"/>
      <w:footerReference w:type="default" r:id="rId26"/>
      <w:pgSz w:w="11900" w:h="16840"/>
      <w:pgMar w:top="1417" w:right="1417" w:bottom="1134" w:left="1417" w:header="708" w:footer="4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269" w:rsidRDefault="00575269">
      <w:pPr>
        <w:spacing w:after="0" w:line="240" w:lineRule="auto"/>
      </w:pPr>
      <w:r>
        <w:separator/>
      </w:r>
    </w:p>
  </w:endnote>
  <w:endnote w:type="continuationSeparator" w:id="0">
    <w:p w:rsidR="00575269" w:rsidRDefault="00575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C6E" w:rsidRDefault="00902C6E">
    <w:pPr>
      <w:pStyle w:val="Intestazionee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C6E" w:rsidRDefault="00575269">
    <w:pPr>
      <w:pStyle w:val="Pidipagina"/>
      <w:tabs>
        <w:tab w:val="clear" w:pos="9072"/>
        <w:tab w:val="right" w:pos="9046"/>
      </w:tabs>
      <w:jc w:val="center"/>
    </w:pPr>
    <w:r>
      <w:rPr>
        <w:sz w:val="16"/>
        <w:szCs w:val="16"/>
      </w:rPr>
      <w:t>Contra</w:t>
    </w:r>
    <w:r>
      <w:rPr>
        <w:sz w:val="16"/>
        <w:szCs w:val="16"/>
        <w:lang w:val="it-IT"/>
      </w:rPr>
      <w:t>ct</w:t>
    </w:r>
    <w:r>
      <w:rPr>
        <w:sz w:val="16"/>
        <w:szCs w:val="16"/>
      </w:rPr>
      <w:t xml:space="preserve"> </w:t>
    </w:r>
    <w:r>
      <w:rPr>
        <w:sz w:val="16"/>
        <w:szCs w:val="16"/>
        <w:lang w:val="it-IT"/>
      </w:rPr>
      <w:t xml:space="preserve">No. </w:t>
    </w:r>
    <w:r>
      <w:rPr>
        <w:sz w:val="16"/>
        <w:szCs w:val="16"/>
      </w:rPr>
      <w:t>2020-1-DE02-KA204-007679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C6E" w:rsidRDefault="00902C6E">
    <w:pPr>
      <w:pStyle w:val="Intestazionee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C6E" w:rsidRDefault="00575269">
    <w:pPr>
      <w:pStyle w:val="Pidipagina"/>
      <w:tabs>
        <w:tab w:val="clear" w:pos="9072"/>
        <w:tab w:val="right" w:pos="9046"/>
      </w:tabs>
      <w:jc w:val="right"/>
    </w:pPr>
    <w:r>
      <w:rPr>
        <w:rStyle w:val="Nessuno"/>
      </w:rPr>
      <w:fldChar w:fldCharType="begin"/>
    </w:r>
    <w:r>
      <w:rPr>
        <w:rStyle w:val="Nessuno"/>
      </w:rPr>
      <w:instrText xml:space="preserve"> PAGE </w:instrText>
    </w:r>
    <w:r w:rsidR="0086465D">
      <w:rPr>
        <w:rStyle w:val="Nessuno"/>
      </w:rPr>
      <w:fldChar w:fldCharType="separate"/>
    </w:r>
    <w:r w:rsidR="0086465D">
      <w:rPr>
        <w:rStyle w:val="Nessuno"/>
        <w:noProof/>
      </w:rPr>
      <w:t>1</w:t>
    </w:r>
    <w:r>
      <w:rPr>
        <w:rStyle w:val="Ness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269" w:rsidRDefault="00575269">
      <w:pPr>
        <w:spacing w:after="0" w:line="240" w:lineRule="auto"/>
      </w:pPr>
      <w:r>
        <w:separator/>
      </w:r>
    </w:p>
  </w:footnote>
  <w:footnote w:type="continuationSeparator" w:id="0">
    <w:p w:rsidR="00575269" w:rsidRDefault="00575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C6E" w:rsidRDefault="00902C6E">
    <w:pPr>
      <w:pStyle w:val="Intestazioneepidipagin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C6E" w:rsidRDefault="00575269">
    <w:pPr>
      <w:pStyle w:val="Intestazione"/>
      <w:tabs>
        <w:tab w:val="clear" w:pos="9072"/>
        <w:tab w:val="right" w:pos="9046"/>
      </w:tabs>
    </w:pPr>
    <w:r>
      <w:tab/>
    </w:r>
    <w:r>
      <w:tab/>
      <w:t xml:space="preserve">   </w:t>
    </w:r>
    <w:r>
      <w:tab/>
    </w:r>
    <w:r>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C6E" w:rsidRDefault="00575269">
    <w:r>
      <w:rPr>
        <w:noProof/>
      </w:rPr>
      <w:drawing>
        <wp:inline distT="0" distB="0" distL="0" distR="0">
          <wp:extent cx="2614930" cy="745809"/>
          <wp:effectExtent l="0" t="0" r="0" b="0"/>
          <wp:docPr id="1073741832" name="officeArt object" descr="Logo EU Erasmus+"/>
          <wp:cNvGraphicFramePr/>
          <a:graphic xmlns:a="http://schemas.openxmlformats.org/drawingml/2006/main">
            <a:graphicData uri="http://schemas.openxmlformats.org/drawingml/2006/picture">
              <pic:pic xmlns:pic="http://schemas.openxmlformats.org/drawingml/2006/picture">
                <pic:nvPicPr>
                  <pic:cNvPr id="1073741832" name="Logo EU Erasmus+" descr="Logo EU Erasmus+"/>
                  <pic:cNvPicPr>
                    <a:picLocks noChangeAspect="1"/>
                  </pic:cNvPicPr>
                </pic:nvPicPr>
                <pic:blipFill>
                  <a:blip r:embed="rId1">
                    <a:extLst/>
                  </a:blip>
                  <a:stretch>
                    <a:fillRect/>
                  </a:stretch>
                </pic:blipFill>
                <pic:spPr>
                  <a:xfrm>
                    <a:off x="0" y="0"/>
                    <a:ext cx="2614930" cy="745809"/>
                  </a:xfrm>
                  <a:prstGeom prst="rect">
                    <a:avLst/>
                  </a:prstGeom>
                  <a:ln w="12700" cap="flat">
                    <a:noFill/>
                    <a:miter lim="400000"/>
                  </a:ln>
                  <a:effectLst/>
                </pic:spPr>
              </pic:pic>
            </a:graphicData>
          </a:graphic>
        </wp:inline>
      </w:drawing>
    </w:r>
    <w:r>
      <w:rPr>
        <w:rFonts w:eastAsia="Arial Unicode MS" w:cs="Arial Unicode MS"/>
      </w:rPr>
      <w:t xml:space="preserve">                </w:t>
    </w:r>
    <w:r>
      <w:rPr>
        <w:rFonts w:eastAsia="Arial Unicode MS" w:cs="Arial Unicode MS"/>
      </w:rPr>
      <w:t xml:space="preserve">                       </w:t>
    </w:r>
    <w:r>
      <w:rPr>
        <w:noProof/>
      </w:rPr>
      <w:drawing>
        <wp:inline distT="0" distB="0" distL="0" distR="0">
          <wp:extent cx="1924050" cy="552450"/>
          <wp:effectExtent l="0" t="0" r="0" b="0"/>
          <wp:docPr id="1073741833" name="officeArt object" descr="logo-full-700x185"/>
          <wp:cNvGraphicFramePr/>
          <a:graphic xmlns:a="http://schemas.openxmlformats.org/drawingml/2006/main">
            <a:graphicData uri="http://schemas.openxmlformats.org/drawingml/2006/picture">
              <pic:pic xmlns:pic="http://schemas.openxmlformats.org/drawingml/2006/picture">
                <pic:nvPicPr>
                  <pic:cNvPr id="1073741833" name="logo-full-700x185" descr="logo-full-700x185"/>
                  <pic:cNvPicPr>
                    <a:picLocks noChangeAspect="1"/>
                  </pic:cNvPicPr>
                </pic:nvPicPr>
                <pic:blipFill>
                  <a:blip r:embed="rId2">
                    <a:extLst/>
                  </a:blip>
                  <a:stretch>
                    <a:fillRect/>
                  </a:stretch>
                </pic:blipFill>
                <pic:spPr>
                  <a:xfrm>
                    <a:off x="0" y="0"/>
                    <a:ext cx="1924050" cy="552450"/>
                  </a:xfrm>
                  <a:prstGeom prst="rect">
                    <a:avLst/>
                  </a:prstGeom>
                  <a:ln w="12700" cap="flat">
                    <a:noFill/>
                    <a:miter lim="400000"/>
                  </a:ln>
                  <a:effec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C6E" w:rsidRDefault="00575269">
    <w:r>
      <w:rPr>
        <w:noProof/>
      </w:rPr>
      <w:drawing>
        <wp:inline distT="0" distB="0" distL="0" distR="0">
          <wp:extent cx="2614930" cy="745809"/>
          <wp:effectExtent l="0" t="0" r="0" b="0"/>
          <wp:docPr id="1073741835" name="officeArt object" descr="Logo EU Erasmus+"/>
          <wp:cNvGraphicFramePr/>
          <a:graphic xmlns:a="http://schemas.openxmlformats.org/drawingml/2006/main">
            <a:graphicData uri="http://schemas.openxmlformats.org/drawingml/2006/picture">
              <pic:pic xmlns:pic="http://schemas.openxmlformats.org/drawingml/2006/picture">
                <pic:nvPicPr>
                  <pic:cNvPr id="1073741835" name="Logo EU Erasmus+" descr="Logo EU Erasmus+"/>
                  <pic:cNvPicPr>
                    <a:picLocks noChangeAspect="1"/>
                  </pic:cNvPicPr>
                </pic:nvPicPr>
                <pic:blipFill>
                  <a:blip r:embed="rId1">
                    <a:extLst/>
                  </a:blip>
                  <a:stretch>
                    <a:fillRect/>
                  </a:stretch>
                </pic:blipFill>
                <pic:spPr>
                  <a:xfrm>
                    <a:off x="0" y="0"/>
                    <a:ext cx="2614930" cy="745809"/>
                  </a:xfrm>
                  <a:prstGeom prst="rect">
                    <a:avLst/>
                  </a:prstGeom>
                  <a:ln w="12700" cap="flat">
                    <a:noFill/>
                    <a:miter lim="400000"/>
                  </a:ln>
                  <a:effectLst/>
                </pic:spPr>
              </pic:pic>
            </a:graphicData>
          </a:graphic>
        </wp:inline>
      </w:drawing>
    </w:r>
    <w:r>
      <w:rPr>
        <w:noProof/>
      </w:rPr>
      <w:drawing>
        <wp:inline distT="0" distB="0" distL="0" distR="0">
          <wp:extent cx="1924050" cy="552450"/>
          <wp:effectExtent l="0" t="0" r="0" b="0"/>
          <wp:docPr id="1073741836" name="officeArt object" descr="logo-full-700x185"/>
          <wp:cNvGraphicFramePr/>
          <a:graphic xmlns:a="http://schemas.openxmlformats.org/drawingml/2006/main">
            <a:graphicData uri="http://schemas.openxmlformats.org/drawingml/2006/picture">
              <pic:pic xmlns:pic="http://schemas.openxmlformats.org/drawingml/2006/picture">
                <pic:nvPicPr>
                  <pic:cNvPr id="1073741836" name="logo-full-700x185" descr="logo-full-700x185"/>
                  <pic:cNvPicPr>
                    <a:picLocks noChangeAspect="1"/>
                  </pic:cNvPicPr>
                </pic:nvPicPr>
                <pic:blipFill>
                  <a:blip r:embed="rId2">
                    <a:extLst/>
                  </a:blip>
                  <a:stretch>
                    <a:fillRect/>
                  </a:stretch>
                </pic:blipFill>
                <pic:spPr>
                  <a:xfrm>
                    <a:off x="0" y="0"/>
                    <a:ext cx="1924050" cy="5524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1FC9"/>
    <w:multiLevelType w:val="hybridMultilevel"/>
    <w:tmpl w:val="35AC7346"/>
    <w:styleLink w:val="Stileimportato2"/>
    <w:lvl w:ilvl="0" w:tplc="C3148E1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96A34D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F14C9DC">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B43ACCA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778BED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46A53AA">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210149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CF6313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492E19A">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BF6F08"/>
    <w:multiLevelType w:val="hybridMultilevel"/>
    <w:tmpl w:val="8A7C4E3A"/>
    <w:numStyleLink w:val="WWNum5"/>
  </w:abstractNum>
  <w:abstractNum w:abstractNumId="2" w15:restartNumberingAfterBreak="0">
    <w:nsid w:val="33C01B9C"/>
    <w:multiLevelType w:val="hybridMultilevel"/>
    <w:tmpl w:val="35AC7346"/>
    <w:numStyleLink w:val="Stileimportato2"/>
  </w:abstractNum>
  <w:abstractNum w:abstractNumId="3" w15:restartNumberingAfterBreak="0">
    <w:nsid w:val="369E07E3"/>
    <w:multiLevelType w:val="hybridMultilevel"/>
    <w:tmpl w:val="8A7C4E3A"/>
    <w:styleLink w:val="WWNum5"/>
    <w:lvl w:ilvl="0" w:tplc="707E30A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87" w:hanging="360"/>
      </w:pPr>
      <w:rPr>
        <w:rFonts w:ascii="Arial Unicode MS" w:eastAsia="Arial Unicode MS" w:hAnsi="Arial Unicode MS" w:cs="Arial Unicode MS"/>
        <w:b w:val="0"/>
        <w:bCs w:val="0"/>
        <w:i w:val="0"/>
        <w:iCs w:val="0"/>
        <w:caps w:val="0"/>
        <w:smallCaps w:val="0"/>
        <w:strike w:val="0"/>
        <w:dstrike w:val="0"/>
        <w:outline w:val="0"/>
        <w:emboss w:val="0"/>
        <w:imprint w:val="0"/>
        <w:color w:val="C00000"/>
        <w:spacing w:val="0"/>
        <w:w w:val="100"/>
        <w:kern w:val="0"/>
        <w:position w:val="0"/>
        <w:sz w:val="32"/>
        <w:szCs w:val="32"/>
        <w:highlight w:val="none"/>
        <w:vertAlign w:val="baseline"/>
      </w:rPr>
    </w:lvl>
    <w:lvl w:ilvl="1" w:tplc="0EF084A8">
      <w:start w:val="1"/>
      <w:numFmt w:val="bullet"/>
      <w:lvlText w:val="o"/>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s>
        <w:ind w:left="1440" w:hanging="360"/>
      </w:pPr>
      <w:rPr>
        <w:rFonts w:ascii="Wingdings" w:eastAsia="Wingdings" w:hAnsi="Wingdings" w:cs="Wingdings"/>
        <w:b w:val="0"/>
        <w:bCs w:val="0"/>
        <w:i w:val="0"/>
        <w:iCs w:val="0"/>
        <w:caps w:val="0"/>
        <w:smallCaps w:val="0"/>
        <w:strike w:val="0"/>
        <w:dstrike w:val="0"/>
        <w:outline w:val="0"/>
        <w:emboss w:val="0"/>
        <w:imprint w:val="0"/>
        <w:color w:val="C00000"/>
        <w:spacing w:val="0"/>
        <w:w w:val="100"/>
        <w:kern w:val="0"/>
        <w:position w:val="0"/>
        <w:highlight w:val="none"/>
        <w:vertAlign w:val="baseline"/>
      </w:rPr>
    </w:lvl>
    <w:lvl w:ilvl="2" w:tplc="A8A8B7EE">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C00000"/>
        <w:spacing w:val="0"/>
        <w:w w:val="100"/>
        <w:kern w:val="0"/>
        <w:position w:val="0"/>
        <w:highlight w:val="none"/>
        <w:vertAlign w:val="baseline"/>
      </w:rPr>
    </w:lvl>
    <w:lvl w:ilvl="3" w:tplc="9E9E9206">
      <w:start w:val="1"/>
      <w:numFmt w:val="bullet"/>
      <w:lvlText w:val="•"/>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C00000"/>
        <w:spacing w:val="0"/>
        <w:w w:val="100"/>
        <w:kern w:val="0"/>
        <w:position w:val="0"/>
        <w:highlight w:val="none"/>
        <w:vertAlign w:val="baseline"/>
      </w:rPr>
    </w:lvl>
    <w:lvl w:ilvl="4" w:tplc="8736B062">
      <w:start w:val="1"/>
      <w:numFmt w:val="bullet"/>
      <w:lvlText w:val="o"/>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s>
        <w:ind w:left="3600" w:hanging="360"/>
      </w:pPr>
      <w:rPr>
        <w:rFonts w:ascii="Wingdings" w:eastAsia="Wingdings" w:hAnsi="Wingdings" w:cs="Wingdings"/>
        <w:b w:val="0"/>
        <w:bCs w:val="0"/>
        <w:i w:val="0"/>
        <w:iCs w:val="0"/>
        <w:caps w:val="0"/>
        <w:smallCaps w:val="0"/>
        <w:strike w:val="0"/>
        <w:dstrike w:val="0"/>
        <w:outline w:val="0"/>
        <w:emboss w:val="0"/>
        <w:imprint w:val="0"/>
        <w:color w:val="C00000"/>
        <w:spacing w:val="0"/>
        <w:w w:val="100"/>
        <w:kern w:val="0"/>
        <w:position w:val="0"/>
        <w:highlight w:val="none"/>
        <w:vertAlign w:val="baseline"/>
      </w:rPr>
    </w:lvl>
    <w:lvl w:ilvl="5" w:tplc="463CCD14">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C00000"/>
        <w:spacing w:val="0"/>
        <w:w w:val="100"/>
        <w:kern w:val="0"/>
        <w:position w:val="0"/>
        <w:highlight w:val="none"/>
        <w:vertAlign w:val="baseline"/>
      </w:rPr>
    </w:lvl>
    <w:lvl w:ilvl="6" w:tplc="1A266C18">
      <w:start w:val="1"/>
      <w:numFmt w:val="bullet"/>
      <w:lvlText w:val="•"/>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C00000"/>
        <w:spacing w:val="0"/>
        <w:w w:val="100"/>
        <w:kern w:val="0"/>
        <w:position w:val="0"/>
        <w:highlight w:val="none"/>
        <w:vertAlign w:val="baseline"/>
      </w:rPr>
    </w:lvl>
    <w:lvl w:ilvl="7" w:tplc="60EA6EC2">
      <w:start w:val="1"/>
      <w:numFmt w:val="bullet"/>
      <w:lvlText w:val="o"/>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s>
        <w:ind w:left="5760" w:hanging="360"/>
      </w:pPr>
      <w:rPr>
        <w:rFonts w:ascii="Wingdings" w:eastAsia="Wingdings" w:hAnsi="Wingdings" w:cs="Wingdings"/>
        <w:b w:val="0"/>
        <w:bCs w:val="0"/>
        <w:i w:val="0"/>
        <w:iCs w:val="0"/>
        <w:caps w:val="0"/>
        <w:smallCaps w:val="0"/>
        <w:strike w:val="0"/>
        <w:dstrike w:val="0"/>
        <w:outline w:val="0"/>
        <w:emboss w:val="0"/>
        <w:imprint w:val="0"/>
        <w:color w:val="C00000"/>
        <w:spacing w:val="0"/>
        <w:w w:val="100"/>
        <w:kern w:val="0"/>
        <w:position w:val="0"/>
        <w:highlight w:val="none"/>
        <w:vertAlign w:val="baseline"/>
      </w:rPr>
    </w:lvl>
    <w:lvl w:ilvl="8" w:tplc="8DCC42A0">
      <w:start w:val="1"/>
      <w:numFmt w:val="bullet"/>
      <w:lvlText w:val="▪"/>
      <w:lvlJc w:val="left"/>
      <w:pPr>
        <w:tabs>
          <w:tab w:val="left" w:pos="709"/>
          <w:tab w:val="left" w:pos="1418"/>
          <w:tab w:val="left" w:pos="2127"/>
          <w:tab w:val="left" w:pos="2836"/>
          <w:tab w:val="left" w:pos="3545"/>
          <w:tab w:val="left" w:pos="4254"/>
          <w:tab w:val="left" w:pos="4963"/>
          <w:tab w:val="left" w:pos="5672"/>
          <w:tab w:val="left" w:pos="7090"/>
          <w:tab w:val="left" w:pos="7799"/>
          <w:tab w:val="left" w:pos="850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C00000"/>
        <w:spacing w:val="0"/>
        <w:w w:val="100"/>
        <w:kern w:val="0"/>
        <w:position w:val="0"/>
        <w:highlight w:val="none"/>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C6E"/>
    <w:rsid w:val="00575269"/>
    <w:rsid w:val="0086465D"/>
    <w:rsid w:val="00902C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31D5"/>
  <w15:docId w15:val="{B69C7560-1651-4241-9910-F33BA20E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360" w:lineRule="auto"/>
      <w:jc w:val="both"/>
    </w:pPr>
    <w:rPr>
      <w:rFonts w:ascii="Calibri" w:eastAsia="Calibri" w:hAnsi="Calibri" w:cs="Calibri"/>
      <w:color w:val="000000"/>
      <w:sz w:val="22"/>
      <w:szCs w:val="22"/>
      <w:u w:color="000000"/>
      <w:lang w:val="en-US"/>
    </w:rPr>
  </w:style>
  <w:style w:type="paragraph" w:styleId="Titolo1">
    <w:name w:val="heading 1"/>
    <w:next w:val="Normale"/>
    <w:uiPriority w:val="9"/>
    <w:qFormat/>
    <w:pPr>
      <w:keepNext/>
      <w:keepLines/>
      <w:spacing w:before="240" w:line="360" w:lineRule="auto"/>
      <w:jc w:val="center"/>
      <w:outlineLvl w:val="0"/>
    </w:pPr>
    <w:rPr>
      <w:rFonts w:ascii="Calibri" w:eastAsia="Calibri" w:hAnsi="Calibri" w:cs="Calibri"/>
      <w:b/>
      <w:bCs/>
      <w:color w:val="000000"/>
      <w:sz w:val="24"/>
      <w:szCs w:val="24"/>
      <w:u w:color="000000"/>
      <w:lang w:val="en-US"/>
    </w:rPr>
  </w:style>
  <w:style w:type="paragraph" w:styleId="Titolo2">
    <w:name w:val="heading 2"/>
    <w:next w:val="Normale"/>
    <w:uiPriority w:val="9"/>
    <w:unhideWhenUsed/>
    <w:qFormat/>
    <w:pPr>
      <w:keepNext/>
      <w:keepLines/>
      <w:spacing w:before="40" w:line="360" w:lineRule="auto"/>
      <w:outlineLvl w:val="1"/>
    </w:pPr>
    <w:rPr>
      <w:rFonts w:ascii="Calibri" w:hAnsi="Calibri" w:cs="Arial Unicode MS"/>
      <w:b/>
      <w:b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Intestazione">
    <w:name w:val="header"/>
    <w:pPr>
      <w:tabs>
        <w:tab w:val="center" w:pos="4536"/>
        <w:tab w:val="right" w:pos="9072"/>
      </w:tabs>
      <w:jc w:val="both"/>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Pidipagina">
    <w:name w:val="footer"/>
    <w:pPr>
      <w:tabs>
        <w:tab w:val="center" w:pos="4536"/>
        <w:tab w:val="right" w:pos="9072"/>
      </w:tabs>
      <w:jc w:val="both"/>
    </w:pPr>
    <w:rPr>
      <w:rFonts w:ascii="Calibri" w:hAnsi="Calibri" w:cs="Arial Unicode MS"/>
      <w:color w:val="000000"/>
      <w:sz w:val="22"/>
      <w:szCs w:val="22"/>
      <w:u w:color="000000"/>
      <w:lang w:val="en-US"/>
    </w:rPr>
  </w:style>
  <w:style w:type="paragraph" w:styleId="Titolosommario">
    <w:name w:val="TOC Heading"/>
    <w:next w:val="Normale"/>
    <w:pPr>
      <w:keepNext/>
      <w:keepLines/>
      <w:spacing w:before="240" w:line="259" w:lineRule="auto"/>
    </w:pPr>
    <w:rPr>
      <w:rFonts w:ascii="Calibri Light" w:hAnsi="Calibri Light" w:cs="Arial Unicode MS"/>
      <w:color w:val="2F5496"/>
      <w:sz w:val="32"/>
      <w:szCs w:val="32"/>
      <w:u w:color="2F5496"/>
      <w:lang w:val="de-DE"/>
    </w:rPr>
  </w:style>
  <w:style w:type="paragraph" w:styleId="Testonormale">
    <w:name w:val="Plain Text"/>
    <w:pPr>
      <w:spacing w:before="100" w:after="100" w:line="312" w:lineRule="auto"/>
      <w:jc w:val="both"/>
    </w:pPr>
    <w:rPr>
      <w:rFonts w:ascii="Calibri" w:hAnsi="Calibri" w:cs="Arial Unicode MS"/>
      <w:color w:val="000000"/>
      <w:sz w:val="22"/>
      <w:szCs w:val="22"/>
      <w:u w:color="000000"/>
      <w:lang w:val="en-US"/>
    </w:rPr>
  </w:style>
  <w:style w:type="paragraph" w:customStyle="1" w:styleId="Didefault">
    <w:name w:val="Di default"/>
    <w:pPr>
      <w:spacing w:before="160"/>
    </w:pPr>
    <w:rPr>
      <w:rFonts w:ascii="Helvetica Neue" w:hAnsi="Helvetica Neue" w:cs="Arial Unicode MS"/>
      <w:color w:val="000000"/>
      <w:sz w:val="24"/>
      <w:szCs w:val="24"/>
      <w:lang w:val="fr-FR"/>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lang w:val="fr-FR"/>
    </w:rPr>
  </w:style>
  <w:style w:type="paragraph" w:customStyle="1" w:styleId="Corpo">
    <w:name w:val="Corpo"/>
    <w:rPr>
      <w:rFonts w:ascii="Helvetica Neue" w:hAnsi="Helvetica Neue" w:cs="Arial Unicode MS"/>
      <w:color w:val="000000"/>
      <w:sz w:val="22"/>
      <w:szCs w:val="22"/>
      <w:lang w:val="fr-FR"/>
      <w14:textOutline w14:w="0" w14:cap="flat" w14:cmpd="sng" w14:algn="ctr">
        <w14:noFill/>
        <w14:prstDash w14:val="solid"/>
        <w14:bevel/>
      </w14:textOutline>
    </w:rPr>
  </w:style>
  <w:style w:type="paragraph" w:styleId="Paragrafoelenco">
    <w:name w:val="List Paragraph"/>
    <w:pPr>
      <w:spacing w:after="160" w:line="360" w:lineRule="auto"/>
      <w:ind w:left="720"/>
      <w:jc w:val="both"/>
    </w:pPr>
    <w:rPr>
      <w:rFonts w:ascii="Calibri" w:hAnsi="Calibri" w:cs="Arial Unicode MS"/>
      <w:color w:val="000000"/>
      <w:sz w:val="22"/>
      <w:szCs w:val="22"/>
      <w:u w:color="000000"/>
      <w:lang w:val="en-US"/>
    </w:rPr>
  </w:style>
  <w:style w:type="numbering" w:customStyle="1" w:styleId="WWNum5">
    <w:name w:val="WWNum5"/>
    <w:pPr>
      <w:numPr>
        <w:numId w:val="1"/>
      </w:numPr>
    </w:pPr>
  </w:style>
  <w:style w:type="paragraph" w:styleId="Sommario1">
    <w:name w:val="toc 1"/>
    <w:next w:val="Normale"/>
    <w:pPr>
      <w:spacing w:after="100" w:line="360" w:lineRule="auto"/>
      <w:jc w:val="both"/>
    </w:pPr>
    <w:rPr>
      <w:rFonts w:ascii="Calibri" w:hAnsi="Calibri" w:cs="Arial Unicode MS"/>
      <w:color w:val="000000"/>
      <w:sz w:val="22"/>
      <w:szCs w:val="22"/>
      <w:u w:color="000000"/>
      <w:lang w:val="en-US"/>
    </w:rPr>
  </w:style>
  <w:style w:type="paragraph" w:styleId="Sommario2">
    <w:name w:val="toc 2"/>
    <w:next w:val="Normale"/>
    <w:pPr>
      <w:spacing w:after="100" w:line="360" w:lineRule="auto"/>
      <w:ind w:left="220"/>
      <w:jc w:val="both"/>
    </w:pPr>
    <w:rPr>
      <w:rFonts w:ascii="Calibri" w:hAnsi="Calibri" w:cs="Arial Unicode MS"/>
      <w:color w:val="000000"/>
      <w:sz w:val="22"/>
      <w:szCs w:val="22"/>
      <w:u w:color="000000"/>
      <w:lang w:val="en-US"/>
    </w:rPr>
  </w:style>
  <w:style w:type="numbering" w:customStyle="1" w:styleId="Stileimportato2">
    <w:name w:val="Stile importato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mig-dhl.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3.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Calibri"/>
        <a:ea typeface="Calibri"/>
        <a:cs typeface="Calibri"/>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2668</Words>
  <Characters>15214</Characters>
  <Application>Microsoft Office Word</Application>
  <DocSecurity>0</DocSecurity>
  <Lines>126</Lines>
  <Paragraphs>35</Paragraphs>
  <ScaleCrop>false</ScaleCrop>
  <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Josemar Alejandro Jimenez</cp:lastModifiedBy>
  <cp:revision>2</cp:revision>
  <dcterms:created xsi:type="dcterms:W3CDTF">2022-10-13T10:35:00Z</dcterms:created>
  <dcterms:modified xsi:type="dcterms:W3CDTF">2022-10-13T10:37:00Z</dcterms:modified>
</cp:coreProperties>
</file>