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86EE8" w14:textId="77777777" w:rsidR="00FD1591" w:rsidRDefault="00FD1591">
      <w:pPr>
        <w:widowControl w:val="0"/>
        <w:pBdr>
          <w:top w:val="nil"/>
          <w:left w:val="nil"/>
          <w:bottom w:val="nil"/>
          <w:right w:val="nil"/>
          <w:between w:val="nil"/>
        </w:pBdr>
        <w:spacing w:after="0" w:line="276" w:lineRule="auto"/>
        <w:jc w:val="left"/>
      </w:pPr>
    </w:p>
    <w:p w14:paraId="71B3A19B" w14:textId="77777777" w:rsidR="00573809" w:rsidRPr="00D62E2C" w:rsidRDefault="00573809" w:rsidP="00573809">
      <w:pPr>
        <w:pStyle w:val="1"/>
        <w:jc w:val="both"/>
        <w:rPr>
          <w:szCs w:val="24"/>
        </w:rPr>
      </w:pPr>
    </w:p>
    <w:p w14:paraId="134BA3BC" w14:textId="77777777" w:rsidR="00573809" w:rsidRDefault="00573809" w:rsidP="00573809">
      <w:pPr>
        <w:rPr>
          <w:lang w:val="de-DE" w:eastAsia="en-GB"/>
        </w:rPr>
      </w:pPr>
      <w:r w:rsidRPr="00937215">
        <w:rPr>
          <w:noProof/>
          <w:lang w:val="de-DE"/>
        </w:rPr>
        <w:drawing>
          <wp:inline distT="0" distB="0" distL="0" distR="0" wp14:anchorId="2C1FCA57" wp14:editId="5AA23ABA">
            <wp:extent cx="5731510" cy="1516380"/>
            <wp:effectExtent l="38100" t="0" r="0" b="579120"/>
            <wp:docPr id="14"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p>
    <w:p w14:paraId="57D5107A" w14:textId="77777777" w:rsidR="00573809" w:rsidRPr="00C75710" w:rsidRDefault="00573809" w:rsidP="00573809">
      <w:pPr>
        <w:jc w:val="center"/>
        <w:rPr>
          <w:b/>
          <w:bCs/>
          <w:color w:val="C00000"/>
          <w:sz w:val="96"/>
          <w:szCs w:val="96"/>
          <w:lang w:eastAsia="en-GB"/>
        </w:rPr>
      </w:pPr>
      <w:r w:rsidRPr="00C75710">
        <w:rPr>
          <w:b/>
          <w:color w:val="C00000"/>
          <w:sz w:val="96"/>
          <w:szCs w:val="96"/>
          <w:lang w:eastAsia="en-GB"/>
        </w:rPr>
        <w:t>Handbook</w:t>
      </w:r>
    </w:p>
    <w:p w14:paraId="23E60678" w14:textId="77777777" w:rsidR="00573809" w:rsidRPr="00C75710" w:rsidRDefault="00573809" w:rsidP="00573809">
      <w:pPr>
        <w:jc w:val="center"/>
        <w:rPr>
          <w:b/>
          <w:bCs/>
          <w:color w:val="C00000"/>
          <w:sz w:val="32"/>
          <w:szCs w:val="32"/>
          <w:lang w:eastAsia="en-GB"/>
        </w:rPr>
      </w:pPr>
      <w:r w:rsidRPr="00731EE8">
        <w:rPr>
          <w:b/>
          <w:color w:val="C00000"/>
          <w:sz w:val="40"/>
          <w:szCs w:val="40"/>
          <w:lang w:val="en-US" w:eastAsia="en-GB"/>
        </w:rPr>
        <w:t>Module</w:t>
      </w:r>
      <w:r w:rsidRPr="00937215">
        <w:rPr>
          <w:b/>
          <w:color w:val="C00000"/>
          <w:sz w:val="40"/>
          <w:szCs w:val="40"/>
          <w:lang w:val="en-US" w:eastAsia="en-GB"/>
        </w:rPr>
        <w:t xml:space="preserve"> </w:t>
      </w:r>
      <w:r>
        <w:rPr>
          <w:b/>
          <w:color w:val="C00000"/>
          <w:sz w:val="40"/>
          <w:szCs w:val="40"/>
          <w:lang w:val="en-US" w:eastAsia="en-GB"/>
        </w:rPr>
        <w:t>1</w:t>
      </w:r>
      <w:r w:rsidRPr="00731EE8">
        <w:rPr>
          <w:b/>
          <w:color w:val="C00000"/>
          <w:sz w:val="40"/>
          <w:szCs w:val="40"/>
          <w:lang w:val="en-US" w:eastAsia="en-GB"/>
        </w:rPr>
        <w:t xml:space="preserve"> </w:t>
      </w:r>
      <w:r w:rsidRPr="00731EE8">
        <w:rPr>
          <w:b/>
          <w:sz w:val="40"/>
          <w:szCs w:val="40"/>
          <w:lang w:val="en-US" w:eastAsia="en-GB"/>
        </w:rPr>
        <w:br/>
      </w:r>
      <w:r>
        <w:rPr>
          <w:sz w:val="40"/>
          <w:szCs w:val="40"/>
          <w:lang w:val="en-US" w:eastAsia="en-GB"/>
        </w:rPr>
        <w:t>What is Digital Literacy and its relevance?</w:t>
      </w:r>
    </w:p>
    <w:p w14:paraId="4A92DD85" w14:textId="77777777" w:rsidR="00573809" w:rsidRDefault="00573809" w:rsidP="00573809">
      <w:pPr>
        <w:rPr>
          <w:sz w:val="28"/>
          <w:szCs w:val="28"/>
          <w:lang w:eastAsia="en-GB"/>
        </w:rPr>
      </w:pPr>
      <w:r w:rsidRPr="00885C91">
        <w:rPr>
          <w:b/>
          <w:color w:val="C00000"/>
          <w:sz w:val="32"/>
          <w:szCs w:val="32"/>
          <w:lang w:eastAsia="en-GB"/>
        </w:rPr>
        <w:t>Authors</w:t>
      </w:r>
      <w:r>
        <w:rPr>
          <w:b/>
          <w:color w:val="C00000"/>
          <w:sz w:val="32"/>
          <w:szCs w:val="32"/>
          <w:lang w:eastAsia="en-GB"/>
        </w:rPr>
        <w:t>:</w:t>
      </w:r>
      <w:r>
        <w:rPr>
          <w:b/>
          <w:color w:val="C00000"/>
          <w:sz w:val="32"/>
          <w:szCs w:val="32"/>
          <w:lang w:eastAsia="en-GB"/>
        </w:rPr>
        <w:br/>
      </w:r>
      <w:r>
        <w:rPr>
          <w:sz w:val="28"/>
          <w:szCs w:val="28"/>
          <w:lang w:eastAsia="en-GB"/>
        </w:rPr>
        <w:t xml:space="preserve">Carlos Serra, UVEG; Jenny </w:t>
      </w:r>
      <w:proofErr w:type="spellStart"/>
      <w:r>
        <w:rPr>
          <w:sz w:val="28"/>
          <w:szCs w:val="28"/>
          <w:lang w:eastAsia="en-GB"/>
        </w:rPr>
        <w:t>Wielga</w:t>
      </w:r>
      <w:proofErr w:type="spellEnd"/>
      <w:r>
        <w:rPr>
          <w:sz w:val="28"/>
          <w:szCs w:val="28"/>
          <w:lang w:eastAsia="en-GB"/>
        </w:rPr>
        <w:t>, IAT</w:t>
      </w:r>
    </w:p>
    <w:p w14:paraId="7F490C6E" w14:textId="77777777" w:rsidR="00573809" w:rsidRPr="00885C91" w:rsidRDefault="00573809" w:rsidP="00573809">
      <w:pPr>
        <w:rPr>
          <w:sz w:val="28"/>
          <w:szCs w:val="28"/>
          <w:lang w:eastAsia="en-GB"/>
        </w:rPr>
      </w:pPr>
    </w:p>
    <w:p w14:paraId="306EE55A" w14:textId="77777777" w:rsidR="00573809" w:rsidRPr="00885C91" w:rsidRDefault="00573809" w:rsidP="00573809">
      <w:pPr>
        <w:rPr>
          <w:sz w:val="16"/>
          <w:szCs w:val="16"/>
          <w:lang w:eastAsia="en-GB"/>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573809" w14:paraId="22C4A271" w14:textId="77777777" w:rsidTr="003C0F06">
        <w:trPr>
          <w:jc w:val="center"/>
        </w:trPr>
        <w:tc>
          <w:tcPr>
            <w:tcW w:w="1956" w:type="dxa"/>
            <w:gridSpan w:val="2"/>
          </w:tcPr>
          <w:p w14:paraId="29617E3F" w14:textId="77777777" w:rsidR="00573809" w:rsidRPr="00885C91" w:rsidRDefault="00573809" w:rsidP="003C0F06">
            <w:pPr>
              <w:rPr>
                <w:sz w:val="16"/>
                <w:szCs w:val="16"/>
                <w:lang w:val="en-GB" w:eastAsia="en-GB"/>
              </w:rPr>
            </w:pPr>
            <w:r>
              <w:rPr>
                <w:noProof/>
                <w:sz w:val="16"/>
                <w:szCs w:val="16"/>
                <w:lang w:val="de-DE"/>
              </w:rPr>
              <w:drawing>
                <wp:inline distT="0" distB="0" distL="0" distR="0" wp14:anchorId="1CB3EA95" wp14:editId="3D3B1704">
                  <wp:extent cx="1101330" cy="620554"/>
                  <wp:effectExtent l="0" t="0" r="3810" b="8255"/>
                  <wp:docPr id="2"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1C34F47B" w14:textId="77777777" w:rsidR="00573809" w:rsidRPr="00885C91" w:rsidRDefault="00573809" w:rsidP="003C0F06">
            <w:pPr>
              <w:rPr>
                <w:sz w:val="16"/>
                <w:szCs w:val="16"/>
                <w:lang w:val="en-GB" w:eastAsia="en-GB"/>
              </w:rPr>
            </w:pPr>
            <w:r>
              <w:rPr>
                <w:noProof/>
                <w:sz w:val="16"/>
                <w:szCs w:val="16"/>
                <w:lang w:val="de-DE"/>
              </w:rPr>
              <w:drawing>
                <wp:anchor distT="0" distB="0" distL="114300" distR="114300" simplePos="0" relativeHeight="251661312" behindDoc="0" locked="0" layoutInCell="1" allowOverlap="1" wp14:anchorId="1EEED9D5" wp14:editId="4C279100">
                  <wp:simplePos x="0" y="0"/>
                  <wp:positionH relativeFrom="column">
                    <wp:posOffset>33655</wp:posOffset>
                  </wp:positionH>
                  <wp:positionV relativeFrom="paragraph">
                    <wp:posOffset>-230957</wp:posOffset>
                  </wp:positionV>
                  <wp:extent cx="688063" cy="89598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3693D200" w14:textId="77777777" w:rsidR="00573809" w:rsidRPr="00885C91" w:rsidRDefault="00573809" w:rsidP="003C0F06">
            <w:pPr>
              <w:rPr>
                <w:sz w:val="16"/>
                <w:szCs w:val="16"/>
                <w:lang w:val="en-GB" w:eastAsia="en-GB"/>
              </w:rPr>
            </w:pPr>
            <w:r w:rsidRPr="00062BA4">
              <w:rPr>
                <w:noProof/>
                <w:sz w:val="16"/>
                <w:szCs w:val="16"/>
                <w:lang w:val="de-DE"/>
              </w:rPr>
              <w:drawing>
                <wp:anchor distT="0" distB="0" distL="114300" distR="114300" simplePos="0" relativeHeight="251662336" behindDoc="0" locked="0" layoutInCell="1" allowOverlap="1" wp14:anchorId="24F297ED" wp14:editId="09BB1A4B">
                  <wp:simplePos x="0" y="0"/>
                  <wp:positionH relativeFrom="column">
                    <wp:posOffset>69119</wp:posOffset>
                  </wp:positionH>
                  <wp:positionV relativeFrom="paragraph">
                    <wp:posOffset>126365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5FEC1022" w14:textId="77777777" w:rsidR="00573809" w:rsidRPr="00885C91" w:rsidRDefault="00573809" w:rsidP="003C0F06">
            <w:pPr>
              <w:rPr>
                <w:sz w:val="16"/>
                <w:szCs w:val="16"/>
                <w:lang w:val="en-GB" w:eastAsia="en-GB"/>
              </w:rPr>
            </w:pPr>
            <w:r w:rsidRPr="00784FAC">
              <w:rPr>
                <w:noProof/>
                <w:sz w:val="16"/>
                <w:szCs w:val="16"/>
                <w:lang w:val="de-DE"/>
              </w:rPr>
              <w:drawing>
                <wp:inline distT="0" distB="0" distL="0" distR="0" wp14:anchorId="69EC75C0" wp14:editId="2F6E4408">
                  <wp:extent cx="1040190" cy="582295"/>
                  <wp:effectExtent l="0" t="0" r="7620" b="8255"/>
                  <wp:docPr id="1"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7E33C2C9" w14:textId="77777777" w:rsidR="00573809" w:rsidRPr="00885C91" w:rsidRDefault="00573809" w:rsidP="003C0F06">
            <w:pPr>
              <w:rPr>
                <w:sz w:val="16"/>
                <w:szCs w:val="16"/>
                <w:lang w:val="en-GB" w:eastAsia="en-GB"/>
              </w:rPr>
            </w:pPr>
            <w:r w:rsidRPr="00353E14">
              <w:rPr>
                <w:noProof/>
                <w:sz w:val="16"/>
                <w:szCs w:val="16"/>
                <w:lang w:val="de-DE"/>
              </w:rPr>
              <w:drawing>
                <wp:inline distT="0" distB="0" distL="0" distR="0" wp14:anchorId="3434B55B" wp14:editId="651E44B7">
                  <wp:extent cx="833025" cy="620395"/>
                  <wp:effectExtent l="0" t="0" r="5715" b="8255"/>
                  <wp:docPr id="2056"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73809" w14:paraId="03EB1E97" w14:textId="77777777" w:rsidTr="003C0F06">
        <w:tblPrEx>
          <w:jc w:val="left"/>
        </w:tblPrEx>
        <w:trPr>
          <w:gridBefore w:val="1"/>
          <w:gridAfter w:val="1"/>
          <w:wBefore w:w="142" w:type="dxa"/>
          <w:wAfter w:w="10" w:type="dxa"/>
        </w:trPr>
        <w:tc>
          <w:tcPr>
            <w:tcW w:w="4366" w:type="dxa"/>
            <w:gridSpan w:val="3"/>
          </w:tcPr>
          <w:p w14:paraId="6C98819F" w14:textId="77777777" w:rsidR="00573809" w:rsidRPr="00885C91" w:rsidRDefault="00573809" w:rsidP="003C0F06">
            <w:pPr>
              <w:jc w:val="center"/>
              <w:rPr>
                <w:sz w:val="16"/>
                <w:szCs w:val="16"/>
                <w:lang w:val="en-GB" w:eastAsia="en-GB"/>
              </w:rPr>
            </w:pPr>
            <w:r w:rsidRPr="00062BA4">
              <w:rPr>
                <w:noProof/>
                <w:sz w:val="16"/>
                <w:szCs w:val="16"/>
                <w:lang w:val="de-DE"/>
              </w:rPr>
              <w:drawing>
                <wp:inline distT="0" distB="0" distL="0" distR="0" wp14:anchorId="553F0675" wp14:editId="6DE79882">
                  <wp:extent cx="930963" cy="386715"/>
                  <wp:effectExtent l="0" t="0" r="2540" b="0"/>
                  <wp:docPr id="20"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31B18FEC" w14:textId="77777777" w:rsidR="00573809" w:rsidRPr="00885C91" w:rsidRDefault="00573809" w:rsidP="003C0F06">
            <w:pPr>
              <w:jc w:val="center"/>
              <w:rPr>
                <w:sz w:val="16"/>
                <w:szCs w:val="16"/>
                <w:lang w:val="en-GB" w:eastAsia="en-GB"/>
              </w:rPr>
            </w:pPr>
            <w:r w:rsidRPr="00353E14">
              <w:rPr>
                <w:noProof/>
                <w:sz w:val="16"/>
                <w:szCs w:val="16"/>
                <w:lang w:val="de-DE"/>
              </w:rPr>
              <w:drawing>
                <wp:inline distT="0" distB="0" distL="0" distR="0" wp14:anchorId="68D2A38B" wp14:editId="73D8F01F">
                  <wp:extent cx="1094372" cy="386715"/>
                  <wp:effectExtent l="0" t="0" r="0" b="0"/>
                  <wp:docPr id="2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20">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E012FC4" w14:textId="77777777" w:rsidR="00573809" w:rsidRDefault="00573809" w:rsidP="00573809">
      <w:pPr>
        <w:rPr>
          <w:sz w:val="16"/>
          <w:szCs w:val="16"/>
          <w:lang w:val="en-US" w:eastAsia="en-GB"/>
        </w:rPr>
      </w:pPr>
      <w:r>
        <w:rPr>
          <w:rFonts w:ascii="Euphemia" w:hAnsi="Euphemia"/>
          <w:noProof/>
          <w:color w:val="262626" w:themeColor="text1" w:themeTint="D9"/>
          <w:sz w:val="18"/>
          <w:szCs w:val="18"/>
          <w:lang w:val="de-DE"/>
        </w:rPr>
        <w:drawing>
          <wp:anchor distT="0" distB="0" distL="114300" distR="114300" simplePos="0" relativeHeight="251660288" behindDoc="1" locked="0" layoutInCell="1" allowOverlap="1" wp14:anchorId="6480D34A" wp14:editId="3D36ABCE">
            <wp:simplePos x="0" y="0"/>
            <wp:positionH relativeFrom="column">
              <wp:posOffset>-643890</wp:posOffset>
            </wp:positionH>
            <wp:positionV relativeFrom="paragraph">
              <wp:posOffset>233680</wp:posOffset>
            </wp:positionV>
            <wp:extent cx="1683385" cy="481330"/>
            <wp:effectExtent l="0" t="0" r="0" b="0"/>
            <wp:wrapTight wrapText="bothSides">
              <wp:wrapPolygon edited="0">
                <wp:start x="0" y="0"/>
                <wp:lineTo x="0" y="20517"/>
                <wp:lineTo x="21266" y="20517"/>
                <wp:lineTo x="21266" y="0"/>
                <wp:lineTo x="0" y="0"/>
              </wp:wrapPolygon>
            </wp:wrapTight>
            <wp:docPr id="5"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83385" cy="48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252C9" w14:textId="77777777" w:rsidR="00573809" w:rsidRPr="00B046E6" w:rsidRDefault="00573809" w:rsidP="00573809">
      <w:pPr>
        <w:rPr>
          <w:sz w:val="16"/>
          <w:szCs w:val="16"/>
          <w:lang w:val="en-US"/>
        </w:rPr>
        <w:sectPr w:rsidR="00573809" w:rsidRPr="00B046E6" w:rsidSect="00573809">
          <w:headerReference w:type="default" r:id="rId22"/>
          <w:footerReference w:type="default" r:id="rId23"/>
          <w:headerReference w:type="first" r:id="rId24"/>
          <w:footerReference w:type="first" r:id="rId25"/>
          <w:pgSz w:w="11906" w:h="16838"/>
          <w:pgMar w:top="1440" w:right="1440" w:bottom="1440" w:left="1440" w:header="708" w:footer="478" w:gutter="0"/>
          <w:pgNumType w:start="0"/>
          <w:cols w:space="708"/>
          <w:titlePg/>
          <w:docGrid w:linePitch="360"/>
        </w:sectPr>
      </w:pPr>
      <w:r w:rsidRPr="00B046E6">
        <w:rPr>
          <w:sz w:val="16"/>
          <w:szCs w:val="16"/>
          <w:lang w:val="en-US" w:eastAsia="en-GB"/>
        </w:rPr>
        <w:t xml:space="preserve">The European Commission support </w:t>
      </w:r>
      <w:proofErr w:type="gramStart"/>
      <w:r w:rsidRPr="00B046E6">
        <w:rPr>
          <w:sz w:val="16"/>
          <w:szCs w:val="16"/>
          <w:lang w:val="en-US" w:eastAsia="en-GB"/>
        </w:rPr>
        <w:t>for the production of</w:t>
      </w:r>
      <w:proofErr w:type="gramEnd"/>
      <w:r w:rsidRPr="00B046E6">
        <w:rPr>
          <w:sz w:val="16"/>
          <w:szCs w:val="16"/>
          <w:lang w:val="en-US" w:eastAsia="en-GB"/>
        </w:rPr>
        <w:t xml:space="preserve"> this publication does not constitute an endorsement of the contents which reflects the views only of the authors, and the Commission cannot be held responsible for any use which may be made of the information contained therein. Project number: </w:t>
      </w:r>
      <w:r w:rsidRPr="00DD55F5">
        <w:rPr>
          <w:sz w:val="16"/>
          <w:szCs w:val="16"/>
          <w:lang w:val="en-US" w:eastAsia="en-GB"/>
        </w:rPr>
        <w:t>2020-1-</w:t>
      </w:r>
      <w:r>
        <w:rPr>
          <w:sz w:val="16"/>
          <w:szCs w:val="16"/>
          <w:lang w:val="en-US" w:eastAsia="en-GB"/>
        </w:rPr>
        <w:t>DE</w:t>
      </w:r>
      <w:r w:rsidRPr="00DD55F5">
        <w:rPr>
          <w:sz w:val="16"/>
          <w:szCs w:val="16"/>
          <w:lang w:val="en-US" w:eastAsia="en-GB"/>
        </w:rPr>
        <w:t>0</w:t>
      </w:r>
      <w:r>
        <w:rPr>
          <w:sz w:val="16"/>
          <w:szCs w:val="16"/>
          <w:lang w:val="en-US" w:eastAsia="en-GB"/>
        </w:rPr>
        <w:t>2</w:t>
      </w:r>
      <w:r w:rsidRPr="00DD55F5">
        <w:rPr>
          <w:sz w:val="16"/>
          <w:szCs w:val="16"/>
          <w:lang w:val="en-US" w:eastAsia="en-GB"/>
        </w:rPr>
        <w:t>-KA20</w:t>
      </w:r>
      <w:r>
        <w:rPr>
          <w:sz w:val="16"/>
          <w:szCs w:val="16"/>
          <w:lang w:val="en-US" w:eastAsia="en-GB"/>
        </w:rPr>
        <w:t>4</w:t>
      </w:r>
      <w:r w:rsidRPr="00DD55F5">
        <w:rPr>
          <w:sz w:val="16"/>
          <w:szCs w:val="16"/>
          <w:lang w:val="en-US" w:eastAsia="en-GB"/>
        </w:rPr>
        <w:t>-0</w:t>
      </w:r>
      <w:r>
        <w:rPr>
          <w:sz w:val="16"/>
          <w:szCs w:val="16"/>
          <w:lang w:val="en-US" w:eastAsia="en-GB"/>
        </w:rPr>
        <w:t>07679.</w:t>
      </w:r>
      <w:r w:rsidRPr="00B046E6">
        <w:rPr>
          <w:sz w:val="16"/>
          <w:szCs w:val="16"/>
          <w:lang w:val="en-US"/>
        </w:rPr>
        <w:br w:type="page"/>
      </w:r>
    </w:p>
    <w:p w14:paraId="0E7EC81B" w14:textId="77777777" w:rsidR="00573809" w:rsidRPr="00B046E6" w:rsidRDefault="00573809" w:rsidP="00573809">
      <w:pPr>
        <w:rPr>
          <w:lang w:val="en-US" w:eastAsia="en-GB"/>
        </w:rPr>
      </w:pPr>
      <w:bookmarkStart w:id="0" w:name="_Hlk13583558"/>
    </w:p>
    <w:bookmarkEnd w:id="0"/>
    <w:p w14:paraId="30CF7A8B" w14:textId="77777777" w:rsidR="00573809" w:rsidRPr="00885C91" w:rsidRDefault="00573809" w:rsidP="00573809">
      <w:pPr>
        <w:spacing w:line="259" w:lineRule="auto"/>
        <w:jc w:val="left"/>
        <w:rPr>
          <w:b/>
          <w:bCs/>
          <w:lang w:val="en-US" w:eastAsia="en-GB"/>
        </w:rPr>
      </w:pPr>
      <w:r w:rsidRPr="00885C91">
        <w:rPr>
          <w:lang w:val="en-US" w:eastAsia="en-GB"/>
        </w:rPr>
        <w:t>T</w:t>
      </w:r>
      <w:r>
        <w:rPr>
          <w:lang w:val="en-US" w:eastAsia="en-GB"/>
        </w:rPr>
        <w:t xml:space="preserve">his handbook for module 4 </w:t>
      </w:r>
      <w:r w:rsidRPr="00885C91">
        <w:rPr>
          <w:lang w:val="en-US" w:eastAsia="en-GB"/>
        </w:rPr>
        <w:t xml:space="preserve">is a part of the MIG-DHL </w:t>
      </w:r>
      <w:proofErr w:type="spellStart"/>
      <w:r w:rsidRPr="00885C91">
        <w:rPr>
          <w:lang w:val="en-US" w:eastAsia="en-GB"/>
        </w:rPr>
        <w:t>Programm</w:t>
      </w:r>
      <w:proofErr w:type="spellEnd"/>
      <w:r w:rsidRPr="00885C91">
        <w:rPr>
          <w:lang w:val="en-US" w:eastAsia="en-GB"/>
        </w:rPr>
        <w:t xml:space="preserve"> containing 6 learning modules in total, which has been developed within the Erasmus+ Strategic Partnership </w:t>
      </w:r>
      <w:r w:rsidRPr="00885C91">
        <w:rPr>
          <w:b/>
          <w:lang w:val="en-US" w:eastAsia="en-GB"/>
        </w:rPr>
        <w:t xml:space="preserve">MIG-DHL- Migrants Digital Health Literacy. </w:t>
      </w:r>
    </w:p>
    <w:p w14:paraId="229CEBF5" w14:textId="77777777" w:rsidR="00573809" w:rsidRPr="00C75710" w:rsidRDefault="00573809" w:rsidP="00573809">
      <w:pPr>
        <w:pStyle w:val="a8"/>
        <w:pBdr>
          <w:bottom w:val="single" w:sz="4" w:space="1" w:color="C00000"/>
        </w:pBdr>
        <w:spacing w:before="100" w:beforeAutospacing="1" w:after="480"/>
        <w:ind w:left="432" w:hanging="432"/>
        <w:jc w:val="both"/>
        <w:rPr>
          <w:lang w:val="en-GB" w:eastAsia="en-GB"/>
        </w:rPr>
      </w:pPr>
      <w:r w:rsidRPr="00885C91">
        <w:rPr>
          <w:lang w:val="en-GB" w:eastAsia="en-GB"/>
        </w:rPr>
        <w:t xml:space="preserve">The training contents </w:t>
      </w:r>
      <w:proofErr w:type="gramStart"/>
      <w:r w:rsidRPr="00885C91">
        <w:rPr>
          <w:lang w:val="en-GB" w:eastAsia="en-GB"/>
        </w:rPr>
        <w:t xml:space="preserve">at a </w:t>
      </w:r>
      <w:r w:rsidRPr="00885C91">
        <w:rPr>
          <w:lang w:val="en-GB"/>
        </w:rPr>
        <w:t>glance</w:t>
      </w:r>
      <w:proofErr w:type="gramEnd"/>
      <w:r w:rsidRPr="00885C91">
        <w:rPr>
          <w:lang w:val="en-GB" w:eastAsia="en-GB"/>
        </w:rPr>
        <w:t>:</w:t>
      </w:r>
    </w:p>
    <w:tbl>
      <w:tblPr>
        <w:tblStyle w:val="ae"/>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573809" w:rsidRPr="0062700B" w14:paraId="2FB2CC23" w14:textId="77777777" w:rsidTr="003C0F06">
        <w:trPr>
          <w:trHeight w:val="609"/>
          <w:jc w:val="center"/>
        </w:trPr>
        <w:tc>
          <w:tcPr>
            <w:tcW w:w="8647" w:type="dxa"/>
            <w:tcBorders>
              <w:bottom w:val="single" w:sz="18" w:space="0" w:color="FFFFFF" w:themeColor="background1"/>
            </w:tcBorders>
            <w:shd w:val="clear" w:color="auto" w:fill="auto"/>
            <w:tcMar>
              <w:top w:w="57" w:type="dxa"/>
              <w:bottom w:w="57" w:type="dxa"/>
            </w:tcMar>
            <w:vAlign w:val="center"/>
          </w:tcPr>
          <w:p w14:paraId="7914D816" w14:textId="77777777" w:rsidR="00573809" w:rsidRPr="0062700B" w:rsidRDefault="00573809" w:rsidP="003C0F06">
            <w:pPr>
              <w:rPr>
                <w:b/>
                <w:bCs/>
                <w:color w:val="1A1364"/>
                <w:szCs w:val="24"/>
                <w:lang w:val="de-DE"/>
              </w:rPr>
            </w:pPr>
            <w:r>
              <w:rPr>
                <w:b/>
                <w:color w:val="1A1364"/>
                <w:szCs w:val="24"/>
                <w:lang w:val="de-DE"/>
              </w:rPr>
              <w:t>MIG-DHL</w:t>
            </w:r>
            <w:r w:rsidRPr="0062700B">
              <w:rPr>
                <w:b/>
                <w:color w:val="1A1364"/>
                <w:szCs w:val="24"/>
                <w:lang w:val="de-DE"/>
              </w:rPr>
              <w:t xml:space="preserve"> Programm</w:t>
            </w:r>
          </w:p>
        </w:tc>
      </w:tr>
      <w:tr w:rsidR="00573809" w:rsidRPr="00BF1E67" w14:paraId="48823A6A" w14:textId="77777777" w:rsidTr="00573809">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00000"/>
            <w:tcMar>
              <w:top w:w="57" w:type="dxa"/>
              <w:bottom w:w="57" w:type="dxa"/>
            </w:tcMar>
            <w:vAlign w:val="center"/>
          </w:tcPr>
          <w:p w14:paraId="794E3633" w14:textId="77777777" w:rsidR="00573809" w:rsidRPr="00573809" w:rsidRDefault="00573809" w:rsidP="003C0F06">
            <w:pPr>
              <w:pStyle w:val="af"/>
              <w:rPr>
                <w:rFonts w:ascii="Arial" w:hAnsi="Arial" w:cs="Arial"/>
                <w:b/>
                <w:bCs w:val="0"/>
                <w:color w:val="FFFFFF" w:themeColor="background1"/>
              </w:rPr>
            </w:pPr>
            <w:r w:rsidRPr="00573809">
              <w:rPr>
                <w:rFonts w:ascii="Arial" w:hAnsi="Arial" w:cs="Arial"/>
                <w:b/>
                <w:bCs w:val="0"/>
                <w:color w:val="FFFFFF" w:themeColor="background1"/>
              </w:rPr>
              <w:t>Module 1: What is Digital Health Literacy and its relevance</w:t>
            </w:r>
          </w:p>
        </w:tc>
      </w:tr>
      <w:tr w:rsidR="00573809" w:rsidRPr="00B479EA" w14:paraId="0F5C16D6" w14:textId="77777777" w:rsidTr="003C0F06">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4707BFF6" w14:textId="77777777" w:rsidR="00573809" w:rsidRPr="00885C91" w:rsidRDefault="00573809" w:rsidP="003C0F06">
            <w:pPr>
              <w:pStyle w:val="af"/>
              <w:rPr>
                <w:rFonts w:ascii="Arial" w:hAnsi="Arial" w:cs="Arial"/>
                <w:lang w:val="en-GB"/>
              </w:rPr>
            </w:pPr>
            <w:r w:rsidRPr="00885C91">
              <w:rPr>
                <w:rFonts w:ascii="Arial" w:hAnsi="Arial" w:cs="Arial"/>
                <w:lang w:val="en-GB"/>
              </w:rPr>
              <w:t>Module 2: Main health issues when l</w:t>
            </w:r>
            <w:r>
              <w:rPr>
                <w:rFonts w:ascii="Arial" w:hAnsi="Arial" w:cs="Arial"/>
                <w:lang w:val="en-GB"/>
              </w:rPr>
              <w:t>anding in a new country</w:t>
            </w:r>
          </w:p>
        </w:tc>
      </w:tr>
      <w:tr w:rsidR="00573809" w:rsidRPr="00B479EA" w14:paraId="18A8A469" w14:textId="77777777" w:rsidTr="003C0F06">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5AE4DABE" w14:textId="77777777" w:rsidR="00573809" w:rsidRPr="00B479EA" w:rsidRDefault="00573809" w:rsidP="003C0F06">
            <w:pPr>
              <w:pStyle w:val="af"/>
              <w:rPr>
                <w:rFonts w:ascii="Arial" w:hAnsi="Arial" w:cs="Arial"/>
                <w:lang w:val="de-DE"/>
              </w:rPr>
            </w:pPr>
            <w:r w:rsidRPr="00B479EA">
              <w:rPr>
                <w:rFonts w:ascii="Arial" w:hAnsi="Arial" w:cs="Arial"/>
                <w:lang w:val="de-DE"/>
              </w:rPr>
              <w:t>Modul</w:t>
            </w:r>
            <w:r>
              <w:rPr>
                <w:rFonts w:ascii="Arial" w:hAnsi="Arial" w:cs="Arial"/>
                <w:lang w:val="de-DE"/>
              </w:rPr>
              <w:t>e</w:t>
            </w:r>
            <w:r w:rsidRPr="00B479EA">
              <w:rPr>
                <w:rFonts w:ascii="Arial" w:hAnsi="Arial" w:cs="Arial"/>
                <w:lang w:val="de-DE"/>
              </w:rPr>
              <w:t xml:space="preserve"> </w:t>
            </w:r>
            <w:r>
              <w:rPr>
                <w:rFonts w:ascii="Arial" w:hAnsi="Arial" w:cs="Arial"/>
                <w:lang w:val="de-DE"/>
              </w:rPr>
              <w:t>3</w:t>
            </w:r>
            <w:r w:rsidRPr="00B479EA">
              <w:rPr>
                <w:rFonts w:ascii="Arial" w:hAnsi="Arial" w:cs="Arial"/>
                <w:lang w:val="de-DE"/>
              </w:rPr>
              <w:t>:</w:t>
            </w:r>
            <w:r>
              <w:rPr>
                <w:rFonts w:ascii="Arial" w:hAnsi="Arial" w:cs="Arial"/>
                <w:lang w:val="de-DE"/>
              </w:rPr>
              <w:t xml:space="preserve"> </w:t>
            </w:r>
            <w:r w:rsidRPr="00885C91">
              <w:rPr>
                <w:rFonts w:ascii="Arial" w:hAnsi="Arial" w:cs="Arial"/>
              </w:rPr>
              <w:t>Healthcare Services</w:t>
            </w:r>
          </w:p>
        </w:tc>
      </w:tr>
      <w:tr w:rsidR="00573809" w:rsidRPr="00B479EA" w14:paraId="67EB2B5C" w14:textId="77777777" w:rsidTr="00573809">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18B80D83" w14:textId="77777777" w:rsidR="00573809" w:rsidRPr="00573809" w:rsidRDefault="00573809" w:rsidP="003C0F06">
            <w:pPr>
              <w:pStyle w:val="af"/>
              <w:rPr>
                <w:rFonts w:ascii="Arial" w:hAnsi="Arial" w:cs="Arial"/>
                <w:lang w:val="de-DE"/>
              </w:rPr>
            </w:pPr>
            <w:r w:rsidRPr="00573809">
              <w:rPr>
                <w:rFonts w:ascii="Arial" w:hAnsi="Arial" w:cs="Arial"/>
                <w:bCs w:val="0"/>
                <w:color w:val="FFFFFF" w:themeColor="background1"/>
              </w:rPr>
              <w:t>Module 4: Turning Digitally Literate</w:t>
            </w:r>
          </w:p>
        </w:tc>
      </w:tr>
      <w:tr w:rsidR="00573809" w:rsidRPr="00B479EA" w14:paraId="37FFE079" w14:textId="77777777" w:rsidTr="003C0F06">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43EB6148" w14:textId="77777777" w:rsidR="00573809" w:rsidRPr="00885C91" w:rsidRDefault="00573809" w:rsidP="003C0F06">
            <w:pPr>
              <w:pStyle w:val="af"/>
              <w:rPr>
                <w:rFonts w:ascii="Arial" w:hAnsi="Arial" w:cs="Arial"/>
                <w:lang w:val="en-GB"/>
              </w:rPr>
            </w:pPr>
            <w:r w:rsidRPr="00885C91">
              <w:rPr>
                <w:rFonts w:ascii="Arial" w:hAnsi="Arial" w:cs="Arial"/>
                <w:lang w:val="en-GB"/>
              </w:rPr>
              <w:t>Module 5: Exploring Digital Health T</w:t>
            </w:r>
            <w:r>
              <w:rPr>
                <w:rFonts w:ascii="Arial" w:hAnsi="Arial" w:cs="Arial"/>
                <w:lang w:val="en-GB"/>
              </w:rPr>
              <w:t>ools</w:t>
            </w:r>
          </w:p>
        </w:tc>
      </w:tr>
      <w:tr w:rsidR="00573809" w:rsidRPr="00B479EA" w14:paraId="0C2C92DC" w14:textId="77777777" w:rsidTr="003C0F06">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6E534936" w14:textId="77777777" w:rsidR="00573809" w:rsidRPr="00885C91" w:rsidRDefault="00573809" w:rsidP="003C0F06">
            <w:pPr>
              <w:pStyle w:val="af"/>
              <w:rPr>
                <w:rFonts w:ascii="Arial" w:hAnsi="Arial" w:cs="Arial"/>
                <w:lang w:val="en-GB"/>
              </w:rPr>
            </w:pPr>
            <w:r w:rsidRPr="00885C91">
              <w:rPr>
                <w:rFonts w:ascii="Arial" w:hAnsi="Arial" w:cs="Arial"/>
                <w:lang w:val="en-GB"/>
              </w:rPr>
              <w:t xml:space="preserve">Module 6: Being Active in the </w:t>
            </w:r>
            <w:r>
              <w:rPr>
                <w:rFonts w:ascii="Arial" w:hAnsi="Arial" w:cs="Arial"/>
                <w:lang w:val="en-GB"/>
              </w:rPr>
              <w:t>Digital Health Environment</w:t>
            </w:r>
          </w:p>
        </w:tc>
      </w:tr>
    </w:tbl>
    <w:p w14:paraId="250AA750" w14:textId="77777777" w:rsidR="00573809" w:rsidRDefault="00573809" w:rsidP="00573809">
      <w:pPr>
        <w:rPr>
          <w:lang w:val="en-US"/>
        </w:rPr>
      </w:pPr>
      <w:r w:rsidRPr="00BF1E67">
        <w:rPr>
          <w:lang w:val="en-US" w:eastAsia="en-GB"/>
        </w:rPr>
        <w:t>You can find more information at the homepage:</w:t>
      </w:r>
      <w:r w:rsidRPr="00BF1E67">
        <w:rPr>
          <w:color w:val="2E74B5" w:themeColor="accent5" w:themeShade="BF"/>
          <w:lang w:val="en-US" w:eastAsia="en-GB"/>
        </w:rPr>
        <w:t xml:space="preserve"> </w:t>
      </w:r>
      <w:r w:rsidRPr="00BF1E67">
        <w:rPr>
          <w:lang w:val="en-US"/>
        </w:rPr>
        <w:t xml:space="preserve"> </w:t>
      </w:r>
      <w:hyperlink r:id="rId26" w:history="1">
        <w:r w:rsidRPr="003833ED">
          <w:rPr>
            <w:rStyle w:val="-"/>
            <w:lang w:val="en-US"/>
          </w:rPr>
          <w:t>https://mig-dhl.eu/</w:t>
        </w:r>
      </w:hyperlink>
      <w:r>
        <w:rPr>
          <w:lang w:val="en-US"/>
        </w:rPr>
        <w:t xml:space="preserve"> </w:t>
      </w:r>
    </w:p>
    <w:p w14:paraId="24C1740B" w14:textId="77777777" w:rsidR="00573809" w:rsidRPr="00BF1E67" w:rsidRDefault="00573809" w:rsidP="00573809">
      <w:pPr>
        <w:rPr>
          <w:lang w:val="en-US" w:eastAsia="en-GB"/>
        </w:rPr>
      </w:pPr>
      <w:r w:rsidRPr="00BF1E67">
        <w:rPr>
          <w:lang w:val="en-US" w:eastAsia="en-GB"/>
        </w:rPr>
        <w:br w:type="page"/>
      </w:r>
    </w:p>
    <w:p w14:paraId="2C8D8484" w14:textId="77777777" w:rsidR="00573809" w:rsidRPr="00C75710" w:rsidRDefault="00573809" w:rsidP="00573809">
      <w:pPr>
        <w:jc w:val="center"/>
        <w:rPr>
          <w:lang w:eastAsia="en-GB"/>
        </w:rPr>
      </w:pPr>
      <w:bookmarkStart w:id="1" w:name="_Hlk18139512"/>
    </w:p>
    <w:p w14:paraId="4C219079" w14:textId="77777777" w:rsidR="00573809" w:rsidRDefault="00573809" w:rsidP="00573809">
      <w:pPr>
        <w:jc w:val="center"/>
        <w:rPr>
          <w:b/>
          <w:bCs/>
          <w:color w:val="002060"/>
          <w:lang w:val="de-DE" w:eastAsia="en-GB"/>
        </w:rPr>
      </w:pPr>
      <w:r w:rsidRPr="000B6B49">
        <w:rPr>
          <w:b/>
          <w:color w:val="002060"/>
          <w:lang w:val="de-DE" w:eastAsia="en-GB"/>
        </w:rPr>
        <w:t>Declaration on Copyright:</w:t>
      </w:r>
      <w:bookmarkEnd w:id="1"/>
    </w:p>
    <w:p w14:paraId="3EB0479A" w14:textId="77777777" w:rsidR="00573809" w:rsidRPr="000B6B49" w:rsidRDefault="00573809" w:rsidP="00573809">
      <w:pPr>
        <w:jc w:val="center"/>
        <w:rPr>
          <w:b/>
          <w:bCs/>
          <w:color w:val="002060"/>
          <w:lang w:val="de-DE" w:eastAsia="en-GB"/>
        </w:rPr>
      </w:pPr>
      <w:r w:rsidRPr="007F67CA">
        <w:rPr>
          <w:b/>
          <w:noProof/>
          <w:color w:val="002060"/>
          <w:lang w:val="de-DE"/>
        </w:rPr>
        <w:drawing>
          <wp:inline distT="0" distB="0" distL="0" distR="0" wp14:anchorId="7569C337" wp14:editId="75731CD3">
            <wp:extent cx="1406013" cy="492105"/>
            <wp:effectExtent l="0" t="0" r="3810" b="3810"/>
            <wp:docPr id="8"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BB7AA07" w14:textId="77777777" w:rsidR="00573809" w:rsidRPr="00BF1E67" w:rsidRDefault="00573809" w:rsidP="00573809">
      <w:pPr>
        <w:jc w:val="center"/>
        <w:rPr>
          <w:lang w:val="en-US" w:eastAsia="en-GB"/>
        </w:rPr>
      </w:pPr>
      <w:r w:rsidRPr="00C75710">
        <w:br/>
      </w:r>
      <w:r w:rsidRPr="00BF1E67">
        <w:rPr>
          <w:lang w:val="en-US" w:eastAsia="en-GB"/>
        </w:rPr>
        <w:t>This work is licensed under a Creative Commons Attribution-</w:t>
      </w:r>
      <w:proofErr w:type="spellStart"/>
      <w:r w:rsidRPr="00BF1E67">
        <w:rPr>
          <w:lang w:val="en-US" w:eastAsia="en-GB"/>
        </w:rPr>
        <w:t>NonCommercial</w:t>
      </w:r>
      <w:proofErr w:type="spellEnd"/>
      <w:r w:rsidRPr="00BF1E67">
        <w:rPr>
          <w:lang w:val="en-US" w:eastAsia="en-GB"/>
        </w:rPr>
        <w:t>-</w:t>
      </w:r>
      <w:proofErr w:type="spellStart"/>
      <w:r w:rsidRPr="00BF1E67">
        <w:rPr>
          <w:lang w:val="en-US" w:eastAsia="en-GB"/>
        </w:rPr>
        <w:t>ShareAlike</w:t>
      </w:r>
      <w:proofErr w:type="spellEnd"/>
      <w:r w:rsidRPr="00BF1E67">
        <w:rPr>
          <w:lang w:val="en-US" w:eastAsia="en-GB"/>
        </w:rPr>
        <w:t xml:space="preserve"> 4.0 International License.</w:t>
      </w:r>
      <w:r>
        <w:rPr>
          <w:lang w:val="en-US" w:eastAsia="en-GB"/>
        </w:rPr>
        <w:t xml:space="preserve"> </w:t>
      </w:r>
      <w:r w:rsidRPr="00BF1E67">
        <w:rPr>
          <w:lang w:val="en-US" w:eastAsia="en-GB"/>
        </w:rPr>
        <w:t>You are free to:</w:t>
      </w:r>
    </w:p>
    <w:p w14:paraId="2002822C" w14:textId="77777777" w:rsidR="00573809" w:rsidRDefault="00573809" w:rsidP="00573809">
      <w:pPr>
        <w:pStyle w:val="a6"/>
        <w:numPr>
          <w:ilvl w:val="0"/>
          <w:numId w:val="2"/>
        </w:numPr>
        <w:spacing w:before="100" w:beforeAutospacing="1" w:after="200" w:line="312" w:lineRule="auto"/>
        <w:rPr>
          <w:lang w:val="en-US"/>
        </w:rPr>
      </w:pPr>
      <w:r w:rsidRPr="000B2DB8">
        <w:t>share</w:t>
      </w:r>
      <w:r w:rsidRPr="00BF1E67">
        <w:rPr>
          <w:lang w:val="en-US"/>
        </w:rPr>
        <w:t xml:space="preserve"> — copy and redistribute the material in any medium or format</w:t>
      </w:r>
    </w:p>
    <w:p w14:paraId="1B488B3B" w14:textId="77777777" w:rsidR="00573809" w:rsidRPr="00BF1E67" w:rsidRDefault="00573809" w:rsidP="00573809">
      <w:pPr>
        <w:pStyle w:val="a6"/>
        <w:numPr>
          <w:ilvl w:val="0"/>
          <w:numId w:val="2"/>
        </w:numPr>
        <w:spacing w:before="100" w:beforeAutospacing="1" w:after="200" w:line="312" w:lineRule="auto"/>
        <w:rPr>
          <w:lang w:val="en-US"/>
        </w:rPr>
      </w:pPr>
      <w:r w:rsidRPr="00BF1E67">
        <w:rPr>
          <w:lang w:val="en-US"/>
        </w:rPr>
        <w:t>adapt — remix, transform, and build upon the material</w:t>
      </w:r>
    </w:p>
    <w:p w14:paraId="49122795" w14:textId="77777777" w:rsidR="00573809" w:rsidRDefault="00573809" w:rsidP="00573809">
      <w:pPr>
        <w:rPr>
          <w:color w:val="262626" w:themeColor="text1" w:themeTint="D9"/>
          <w:lang w:val="de-DE"/>
        </w:rPr>
      </w:pPr>
      <w:proofErr w:type="spellStart"/>
      <w:r w:rsidRPr="00BF1E67">
        <w:rPr>
          <w:color w:val="262626" w:themeColor="text1" w:themeTint="D9"/>
          <w:lang w:val="de-DE"/>
        </w:rPr>
        <w:t>under</w:t>
      </w:r>
      <w:proofErr w:type="spellEnd"/>
      <w:r w:rsidRPr="00BF1E67">
        <w:rPr>
          <w:color w:val="262626" w:themeColor="text1" w:themeTint="D9"/>
          <w:lang w:val="de-DE"/>
        </w:rPr>
        <w:t xml:space="preserve"> </w:t>
      </w:r>
      <w:proofErr w:type="spellStart"/>
      <w:r w:rsidRPr="00BF1E67">
        <w:rPr>
          <w:color w:val="262626" w:themeColor="text1" w:themeTint="D9"/>
          <w:lang w:val="de-DE"/>
        </w:rPr>
        <w:t>the</w:t>
      </w:r>
      <w:proofErr w:type="spellEnd"/>
      <w:r w:rsidRPr="00BF1E67">
        <w:rPr>
          <w:color w:val="262626" w:themeColor="text1" w:themeTint="D9"/>
          <w:lang w:val="de-DE"/>
        </w:rPr>
        <w:t xml:space="preserve"> </w:t>
      </w:r>
      <w:proofErr w:type="spellStart"/>
      <w:r w:rsidRPr="00BF1E67">
        <w:rPr>
          <w:color w:val="262626" w:themeColor="text1" w:themeTint="D9"/>
          <w:lang w:val="de-DE"/>
        </w:rPr>
        <w:t>following</w:t>
      </w:r>
      <w:proofErr w:type="spellEnd"/>
      <w:r w:rsidRPr="00BF1E67">
        <w:rPr>
          <w:color w:val="262626" w:themeColor="text1" w:themeTint="D9"/>
          <w:lang w:val="de-DE"/>
        </w:rPr>
        <w:t xml:space="preserve"> </w:t>
      </w:r>
      <w:proofErr w:type="spellStart"/>
      <w:r w:rsidRPr="00BF1E67">
        <w:rPr>
          <w:color w:val="262626" w:themeColor="text1" w:themeTint="D9"/>
          <w:lang w:val="de-DE"/>
        </w:rPr>
        <w:t>terms</w:t>
      </w:r>
      <w:proofErr w:type="spellEnd"/>
      <w:r w:rsidRPr="00BF1E67">
        <w:rPr>
          <w:color w:val="262626" w:themeColor="text1" w:themeTint="D9"/>
          <w:lang w:val="de-DE"/>
        </w:rPr>
        <w:t>:</w:t>
      </w:r>
    </w:p>
    <w:p w14:paraId="58854E1A" w14:textId="77777777" w:rsidR="00573809" w:rsidRPr="00BF1E67" w:rsidRDefault="00573809" w:rsidP="00573809">
      <w:pPr>
        <w:pStyle w:val="a6"/>
        <w:numPr>
          <w:ilvl w:val="0"/>
          <w:numId w:val="2"/>
        </w:numPr>
        <w:spacing w:before="100" w:beforeAutospacing="1" w:after="200" w:line="312" w:lineRule="auto"/>
        <w:rPr>
          <w:lang w:val="en-US"/>
        </w:rPr>
      </w:pPr>
      <w:r w:rsidRPr="00BF1E67">
        <w:rPr>
          <w:rFonts w:eastAsia="MyriadPro-Regular"/>
          <w:lang w:val="en-US" w:eastAsia="en-US"/>
        </w:rPr>
        <w:t>Attribution — You must give appropriate credit, provide a link to the license, and indicate if changes were made. You may do so in any reasonable manner, but not in any way that suggests the licensor endorses you or your use.</w:t>
      </w:r>
    </w:p>
    <w:p w14:paraId="0D122685" w14:textId="77777777" w:rsidR="00573809" w:rsidRDefault="00573809" w:rsidP="00573809">
      <w:pPr>
        <w:pStyle w:val="a6"/>
        <w:numPr>
          <w:ilvl w:val="0"/>
          <w:numId w:val="2"/>
        </w:numPr>
        <w:spacing w:before="100" w:beforeAutospacing="1" w:after="200" w:line="312" w:lineRule="auto"/>
        <w:rPr>
          <w:lang w:val="en-US"/>
        </w:rPr>
      </w:pPr>
      <w:proofErr w:type="spellStart"/>
      <w:r w:rsidRPr="00BF1E67">
        <w:rPr>
          <w:lang w:val="en-US"/>
        </w:rPr>
        <w:t>NonCommercial</w:t>
      </w:r>
      <w:proofErr w:type="spellEnd"/>
      <w:r w:rsidRPr="00BF1E67">
        <w:rPr>
          <w:lang w:val="en-US"/>
        </w:rPr>
        <w:t xml:space="preserve"> — You may not use the material for commercial purposes.</w:t>
      </w:r>
    </w:p>
    <w:p w14:paraId="0C5C8573" w14:textId="77777777" w:rsidR="00573809" w:rsidRPr="00BF1E67" w:rsidRDefault="00573809" w:rsidP="00573809">
      <w:pPr>
        <w:pStyle w:val="a6"/>
        <w:numPr>
          <w:ilvl w:val="0"/>
          <w:numId w:val="2"/>
        </w:numPr>
        <w:spacing w:before="100" w:beforeAutospacing="1" w:after="200" w:line="312" w:lineRule="auto"/>
        <w:rPr>
          <w:lang w:val="en-US"/>
        </w:rPr>
      </w:pPr>
      <w:proofErr w:type="spellStart"/>
      <w:r w:rsidRPr="00BF1E67">
        <w:rPr>
          <w:lang w:val="en-US"/>
        </w:rPr>
        <w:t>ShareAlike</w:t>
      </w:r>
      <w:proofErr w:type="spellEnd"/>
      <w:r w:rsidRPr="00BF1E67">
        <w:rPr>
          <w:lang w:val="en-US"/>
        </w:rPr>
        <w:t xml:space="preserve"> — If you remix, transform, or build upon the material, you must distribute your contributions under the same license as the original.</w:t>
      </w:r>
    </w:p>
    <w:p w14:paraId="54784B0B" w14:textId="77777777" w:rsidR="00573809" w:rsidRPr="00BF1E67" w:rsidRDefault="00573809" w:rsidP="00573809">
      <w:pPr>
        <w:rPr>
          <w:lang w:val="en-US" w:eastAsia="en-GB"/>
        </w:rPr>
      </w:pPr>
    </w:p>
    <w:p w14:paraId="25E3BCAA" w14:textId="77777777" w:rsidR="00573809" w:rsidRPr="00885C91" w:rsidRDefault="00573809" w:rsidP="00573809">
      <w:pPr>
        <w:pBdr>
          <w:top w:val="nil"/>
          <w:left w:val="nil"/>
          <w:bottom w:val="nil"/>
          <w:right w:val="nil"/>
          <w:between w:val="nil"/>
        </w:pBdr>
        <w:rPr>
          <w:color w:val="000000"/>
          <w:szCs w:val="24"/>
          <w:lang w:val="en-US"/>
        </w:rPr>
      </w:pPr>
    </w:p>
    <w:p w14:paraId="2CC98D2A" w14:textId="77777777" w:rsidR="00573809" w:rsidRDefault="00573809" w:rsidP="00573809">
      <w:pPr>
        <w:pBdr>
          <w:top w:val="nil"/>
          <w:left w:val="nil"/>
          <w:bottom w:val="nil"/>
          <w:right w:val="nil"/>
          <w:between w:val="nil"/>
        </w:pBdr>
        <w:rPr>
          <w:color w:val="000000"/>
          <w:szCs w:val="24"/>
        </w:rPr>
      </w:pPr>
    </w:p>
    <w:p w14:paraId="4B396211" w14:textId="77777777" w:rsidR="00573809" w:rsidRDefault="00573809" w:rsidP="00573809">
      <w:pPr>
        <w:pBdr>
          <w:top w:val="nil"/>
          <w:left w:val="nil"/>
          <w:bottom w:val="nil"/>
          <w:right w:val="nil"/>
          <w:between w:val="nil"/>
        </w:pBdr>
        <w:rPr>
          <w:color w:val="000000"/>
          <w:szCs w:val="24"/>
        </w:rPr>
      </w:pPr>
    </w:p>
    <w:p w14:paraId="73740FE6" w14:textId="77777777" w:rsidR="00573809" w:rsidRDefault="00573809" w:rsidP="00573809">
      <w:pPr>
        <w:pBdr>
          <w:top w:val="nil"/>
          <w:left w:val="nil"/>
          <w:bottom w:val="nil"/>
          <w:right w:val="nil"/>
          <w:between w:val="nil"/>
        </w:pBdr>
        <w:rPr>
          <w:color w:val="000000"/>
          <w:szCs w:val="24"/>
        </w:rPr>
      </w:pPr>
    </w:p>
    <w:p w14:paraId="4692CFB5" w14:textId="77777777" w:rsidR="00FD1591" w:rsidRDefault="00FD1591">
      <w:pPr>
        <w:rPr>
          <w:sz w:val="24"/>
          <w:szCs w:val="24"/>
        </w:rPr>
      </w:pPr>
    </w:p>
    <w:p w14:paraId="093734FD" w14:textId="77777777" w:rsidR="00FD1591" w:rsidRDefault="00FD1591">
      <w:pPr>
        <w:rPr>
          <w:sz w:val="24"/>
          <w:szCs w:val="24"/>
        </w:rPr>
      </w:pPr>
    </w:p>
    <w:p w14:paraId="25F88668" w14:textId="77777777" w:rsidR="00FD1591" w:rsidRDefault="00FD1591">
      <w:pPr>
        <w:rPr>
          <w:sz w:val="24"/>
          <w:szCs w:val="24"/>
        </w:rPr>
      </w:pPr>
    </w:p>
    <w:p w14:paraId="4A491BF9" w14:textId="77777777" w:rsidR="00FD1591" w:rsidRDefault="00FD1591">
      <w:pPr>
        <w:pBdr>
          <w:top w:val="nil"/>
          <w:left w:val="nil"/>
          <w:bottom w:val="nil"/>
          <w:right w:val="nil"/>
          <w:between w:val="nil"/>
        </w:pBdr>
        <w:rPr>
          <w:color w:val="000000"/>
          <w:sz w:val="24"/>
          <w:szCs w:val="24"/>
        </w:rPr>
      </w:pPr>
      <w:bookmarkStart w:id="2" w:name="_heading=h.gjdgxs" w:colFirst="0" w:colLast="0"/>
      <w:bookmarkEnd w:id="2"/>
    </w:p>
    <w:p w14:paraId="71C2F147" w14:textId="77777777" w:rsidR="00FD1591" w:rsidRDefault="000C74B4">
      <w:pPr>
        <w:keepNext/>
        <w:keepLines/>
        <w:pBdr>
          <w:top w:val="nil"/>
          <w:left w:val="nil"/>
          <w:bottom w:val="nil"/>
          <w:right w:val="nil"/>
          <w:between w:val="nil"/>
        </w:pBdr>
        <w:spacing w:before="240" w:after="0" w:line="259" w:lineRule="auto"/>
        <w:jc w:val="left"/>
        <w:rPr>
          <w:b/>
          <w:color w:val="000000"/>
          <w:sz w:val="24"/>
          <w:szCs w:val="24"/>
        </w:rPr>
      </w:pPr>
      <w:r>
        <w:rPr>
          <w:b/>
          <w:color w:val="000000"/>
          <w:sz w:val="24"/>
          <w:szCs w:val="24"/>
        </w:rPr>
        <w:lastRenderedPageBreak/>
        <w:t>Content</w:t>
      </w:r>
    </w:p>
    <w:sdt>
      <w:sdtPr>
        <w:id w:val="-1998322749"/>
        <w:docPartObj>
          <w:docPartGallery w:val="Table of Contents"/>
          <w:docPartUnique/>
        </w:docPartObj>
      </w:sdtPr>
      <w:sdtEndPr/>
      <w:sdtContent>
        <w:p w14:paraId="5EAF181E" w14:textId="2EB139C9" w:rsidR="00573809" w:rsidRDefault="000C74B4">
          <w:pPr>
            <w:pStyle w:val="10"/>
            <w:tabs>
              <w:tab w:val="right" w:pos="9062"/>
            </w:tabs>
            <w:rPr>
              <w:rFonts w:asciiTheme="minorHAnsi" w:eastAsiaTheme="minorEastAsia" w:hAnsiTheme="minorHAnsi" w:cstheme="minorBidi"/>
              <w:noProof/>
              <w:lang w:val="de-DE"/>
            </w:rPr>
          </w:pPr>
          <w:r>
            <w:fldChar w:fldCharType="begin"/>
          </w:r>
          <w:r>
            <w:instrText xml:space="preserve"> TOC \h \u \z </w:instrText>
          </w:r>
          <w:r>
            <w:fldChar w:fldCharType="separate"/>
          </w:r>
          <w:hyperlink w:anchor="_Toc103249335" w:history="1">
            <w:r w:rsidR="00573809" w:rsidRPr="00F158A7">
              <w:rPr>
                <w:rStyle w:val="-"/>
                <w:noProof/>
              </w:rPr>
              <w:t>Introduction</w:t>
            </w:r>
            <w:r w:rsidR="00573809">
              <w:rPr>
                <w:noProof/>
                <w:webHidden/>
              </w:rPr>
              <w:tab/>
            </w:r>
            <w:r w:rsidR="00573809">
              <w:rPr>
                <w:noProof/>
                <w:webHidden/>
              </w:rPr>
              <w:fldChar w:fldCharType="begin"/>
            </w:r>
            <w:r w:rsidR="00573809">
              <w:rPr>
                <w:noProof/>
                <w:webHidden/>
              </w:rPr>
              <w:instrText xml:space="preserve"> PAGEREF _Toc103249335 \h </w:instrText>
            </w:r>
            <w:r w:rsidR="00573809">
              <w:rPr>
                <w:noProof/>
                <w:webHidden/>
              </w:rPr>
            </w:r>
            <w:r w:rsidR="00573809">
              <w:rPr>
                <w:noProof/>
                <w:webHidden/>
              </w:rPr>
              <w:fldChar w:fldCharType="separate"/>
            </w:r>
            <w:r w:rsidR="00874097">
              <w:rPr>
                <w:noProof/>
                <w:webHidden/>
              </w:rPr>
              <w:t>1</w:t>
            </w:r>
            <w:r w:rsidR="00573809">
              <w:rPr>
                <w:noProof/>
                <w:webHidden/>
              </w:rPr>
              <w:fldChar w:fldCharType="end"/>
            </w:r>
          </w:hyperlink>
        </w:p>
        <w:p w14:paraId="7E3D2351" w14:textId="6276065A" w:rsidR="00573809" w:rsidRDefault="00673A5D">
          <w:pPr>
            <w:pStyle w:val="10"/>
            <w:tabs>
              <w:tab w:val="right" w:pos="9062"/>
            </w:tabs>
            <w:rPr>
              <w:rFonts w:asciiTheme="minorHAnsi" w:eastAsiaTheme="minorEastAsia" w:hAnsiTheme="minorHAnsi" w:cstheme="minorBidi"/>
              <w:noProof/>
              <w:lang w:val="de-DE"/>
            </w:rPr>
          </w:pPr>
          <w:hyperlink w:anchor="_Toc103249336" w:history="1">
            <w:r w:rsidR="00573809" w:rsidRPr="00F158A7">
              <w:rPr>
                <w:rStyle w:val="-"/>
                <w:noProof/>
              </w:rPr>
              <w:t>1. What is Digital Health Literacy and its relevance</w:t>
            </w:r>
            <w:r w:rsidR="00573809">
              <w:rPr>
                <w:noProof/>
                <w:webHidden/>
              </w:rPr>
              <w:tab/>
            </w:r>
            <w:r w:rsidR="00573809">
              <w:rPr>
                <w:noProof/>
                <w:webHidden/>
              </w:rPr>
              <w:fldChar w:fldCharType="begin"/>
            </w:r>
            <w:r w:rsidR="00573809">
              <w:rPr>
                <w:noProof/>
                <w:webHidden/>
              </w:rPr>
              <w:instrText xml:space="preserve"> PAGEREF _Toc103249336 \h </w:instrText>
            </w:r>
            <w:r w:rsidR="00573809">
              <w:rPr>
                <w:noProof/>
                <w:webHidden/>
              </w:rPr>
            </w:r>
            <w:r w:rsidR="00573809">
              <w:rPr>
                <w:noProof/>
                <w:webHidden/>
              </w:rPr>
              <w:fldChar w:fldCharType="separate"/>
            </w:r>
            <w:r w:rsidR="00874097">
              <w:rPr>
                <w:noProof/>
                <w:webHidden/>
              </w:rPr>
              <w:t>2</w:t>
            </w:r>
            <w:r w:rsidR="00573809">
              <w:rPr>
                <w:noProof/>
                <w:webHidden/>
              </w:rPr>
              <w:fldChar w:fldCharType="end"/>
            </w:r>
          </w:hyperlink>
        </w:p>
        <w:p w14:paraId="0A80D443" w14:textId="47CE8A99" w:rsidR="00573809" w:rsidRDefault="00673A5D">
          <w:pPr>
            <w:pStyle w:val="20"/>
            <w:tabs>
              <w:tab w:val="right" w:pos="9062"/>
            </w:tabs>
            <w:rPr>
              <w:rFonts w:asciiTheme="minorHAnsi" w:eastAsiaTheme="minorEastAsia" w:hAnsiTheme="minorHAnsi" w:cstheme="minorBidi"/>
              <w:noProof/>
              <w:lang w:val="de-DE"/>
            </w:rPr>
          </w:pPr>
          <w:hyperlink w:anchor="_Toc103249337" w:history="1">
            <w:r w:rsidR="00573809" w:rsidRPr="00F158A7">
              <w:rPr>
                <w:rStyle w:val="-"/>
                <w:noProof/>
              </w:rPr>
              <w:t>1.1 The ERASMUS+ Programme.</w:t>
            </w:r>
            <w:r w:rsidR="00573809">
              <w:rPr>
                <w:noProof/>
                <w:webHidden/>
              </w:rPr>
              <w:tab/>
            </w:r>
            <w:r w:rsidR="00573809">
              <w:rPr>
                <w:noProof/>
                <w:webHidden/>
              </w:rPr>
              <w:fldChar w:fldCharType="begin"/>
            </w:r>
            <w:r w:rsidR="00573809">
              <w:rPr>
                <w:noProof/>
                <w:webHidden/>
              </w:rPr>
              <w:instrText xml:space="preserve"> PAGEREF _Toc103249337 \h </w:instrText>
            </w:r>
            <w:r w:rsidR="00573809">
              <w:rPr>
                <w:noProof/>
                <w:webHidden/>
              </w:rPr>
            </w:r>
            <w:r w:rsidR="00573809">
              <w:rPr>
                <w:noProof/>
                <w:webHidden/>
              </w:rPr>
              <w:fldChar w:fldCharType="separate"/>
            </w:r>
            <w:r w:rsidR="00874097">
              <w:rPr>
                <w:noProof/>
                <w:webHidden/>
              </w:rPr>
              <w:t>2</w:t>
            </w:r>
            <w:r w:rsidR="00573809">
              <w:rPr>
                <w:noProof/>
                <w:webHidden/>
              </w:rPr>
              <w:fldChar w:fldCharType="end"/>
            </w:r>
          </w:hyperlink>
        </w:p>
        <w:p w14:paraId="0B5BCF4E" w14:textId="178ABEBD" w:rsidR="00573809" w:rsidRDefault="00673A5D">
          <w:pPr>
            <w:pStyle w:val="20"/>
            <w:tabs>
              <w:tab w:val="right" w:pos="9062"/>
            </w:tabs>
            <w:rPr>
              <w:rFonts w:asciiTheme="minorHAnsi" w:eastAsiaTheme="minorEastAsia" w:hAnsiTheme="minorHAnsi" w:cstheme="minorBidi"/>
              <w:noProof/>
              <w:lang w:val="de-DE"/>
            </w:rPr>
          </w:pPr>
          <w:hyperlink w:anchor="_Toc103249338" w:history="1">
            <w:r w:rsidR="00573809" w:rsidRPr="00F158A7">
              <w:rPr>
                <w:rStyle w:val="-"/>
                <w:noProof/>
              </w:rPr>
              <w:t>1.2 Digital Health Literacy Concept</w:t>
            </w:r>
            <w:r w:rsidR="00573809">
              <w:rPr>
                <w:noProof/>
                <w:webHidden/>
              </w:rPr>
              <w:tab/>
            </w:r>
            <w:r w:rsidR="00573809">
              <w:rPr>
                <w:noProof/>
                <w:webHidden/>
              </w:rPr>
              <w:fldChar w:fldCharType="begin"/>
            </w:r>
            <w:r w:rsidR="00573809">
              <w:rPr>
                <w:noProof/>
                <w:webHidden/>
              </w:rPr>
              <w:instrText xml:space="preserve"> PAGEREF _Toc103249338 \h </w:instrText>
            </w:r>
            <w:r w:rsidR="00573809">
              <w:rPr>
                <w:noProof/>
                <w:webHidden/>
              </w:rPr>
            </w:r>
            <w:r w:rsidR="00573809">
              <w:rPr>
                <w:noProof/>
                <w:webHidden/>
              </w:rPr>
              <w:fldChar w:fldCharType="separate"/>
            </w:r>
            <w:r w:rsidR="00874097">
              <w:rPr>
                <w:noProof/>
                <w:webHidden/>
              </w:rPr>
              <w:t>3</w:t>
            </w:r>
            <w:r w:rsidR="00573809">
              <w:rPr>
                <w:noProof/>
                <w:webHidden/>
              </w:rPr>
              <w:fldChar w:fldCharType="end"/>
            </w:r>
          </w:hyperlink>
        </w:p>
        <w:p w14:paraId="5C2CA951" w14:textId="3F9903C7" w:rsidR="00573809" w:rsidRDefault="00673A5D">
          <w:pPr>
            <w:pStyle w:val="20"/>
            <w:tabs>
              <w:tab w:val="right" w:pos="9062"/>
            </w:tabs>
            <w:rPr>
              <w:rFonts w:asciiTheme="minorHAnsi" w:eastAsiaTheme="minorEastAsia" w:hAnsiTheme="minorHAnsi" w:cstheme="minorBidi"/>
              <w:noProof/>
              <w:lang w:val="de-DE"/>
            </w:rPr>
          </w:pPr>
          <w:hyperlink w:anchor="_Toc103249339" w:history="1">
            <w:r w:rsidR="00573809" w:rsidRPr="00F158A7">
              <w:rPr>
                <w:rStyle w:val="-"/>
                <w:noProof/>
              </w:rPr>
              <w:t>1.3 The relevance of Digital Health Literacy for migrants</w:t>
            </w:r>
            <w:r w:rsidR="00573809">
              <w:rPr>
                <w:noProof/>
                <w:webHidden/>
              </w:rPr>
              <w:tab/>
            </w:r>
            <w:r w:rsidR="00573809">
              <w:rPr>
                <w:noProof/>
                <w:webHidden/>
              </w:rPr>
              <w:fldChar w:fldCharType="begin"/>
            </w:r>
            <w:r w:rsidR="00573809">
              <w:rPr>
                <w:noProof/>
                <w:webHidden/>
              </w:rPr>
              <w:instrText xml:space="preserve"> PAGEREF _Toc103249339 \h </w:instrText>
            </w:r>
            <w:r w:rsidR="00573809">
              <w:rPr>
                <w:noProof/>
                <w:webHidden/>
              </w:rPr>
            </w:r>
            <w:r w:rsidR="00573809">
              <w:rPr>
                <w:noProof/>
                <w:webHidden/>
              </w:rPr>
              <w:fldChar w:fldCharType="separate"/>
            </w:r>
            <w:r w:rsidR="00874097">
              <w:rPr>
                <w:noProof/>
                <w:webHidden/>
              </w:rPr>
              <w:t>5</w:t>
            </w:r>
            <w:r w:rsidR="00573809">
              <w:rPr>
                <w:noProof/>
                <w:webHidden/>
              </w:rPr>
              <w:fldChar w:fldCharType="end"/>
            </w:r>
          </w:hyperlink>
        </w:p>
        <w:p w14:paraId="38687B4B" w14:textId="73F02FF3" w:rsidR="00573809" w:rsidRDefault="00673A5D">
          <w:pPr>
            <w:pStyle w:val="10"/>
            <w:tabs>
              <w:tab w:val="right" w:pos="9062"/>
            </w:tabs>
            <w:rPr>
              <w:rFonts w:asciiTheme="minorHAnsi" w:eastAsiaTheme="minorEastAsia" w:hAnsiTheme="minorHAnsi" w:cstheme="minorBidi"/>
              <w:noProof/>
              <w:lang w:val="de-DE"/>
            </w:rPr>
          </w:pPr>
          <w:hyperlink w:anchor="_Toc103249340" w:history="1">
            <w:r w:rsidR="00573809" w:rsidRPr="00F158A7">
              <w:rPr>
                <w:rStyle w:val="-"/>
                <w:noProof/>
              </w:rPr>
              <w:t>References</w:t>
            </w:r>
            <w:r w:rsidR="00573809">
              <w:rPr>
                <w:noProof/>
                <w:webHidden/>
              </w:rPr>
              <w:tab/>
            </w:r>
            <w:r w:rsidR="00573809">
              <w:rPr>
                <w:noProof/>
                <w:webHidden/>
              </w:rPr>
              <w:fldChar w:fldCharType="begin"/>
            </w:r>
            <w:r w:rsidR="00573809">
              <w:rPr>
                <w:noProof/>
                <w:webHidden/>
              </w:rPr>
              <w:instrText xml:space="preserve"> PAGEREF _Toc103249340 \h </w:instrText>
            </w:r>
            <w:r w:rsidR="00573809">
              <w:rPr>
                <w:noProof/>
                <w:webHidden/>
              </w:rPr>
            </w:r>
            <w:r w:rsidR="00573809">
              <w:rPr>
                <w:noProof/>
                <w:webHidden/>
              </w:rPr>
              <w:fldChar w:fldCharType="separate"/>
            </w:r>
            <w:r w:rsidR="00874097">
              <w:rPr>
                <w:noProof/>
                <w:webHidden/>
              </w:rPr>
              <w:t>7</w:t>
            </w:r>
            <w:r w:rsidR="00573809">
              <w:rPr>
                <w:noProof/>
                <w:webHidden/>
              </w:rPr>
              <w:fldChar w:fldCharType="end"/>
            </w:r>
          </w:hyperlink>
        </w:p>
        <w:p w14:paraId="1B4EB12F" w14:textId="77777777" w:rsidR="00FD1591" w:rsidRDefault="000C74B4">
          <w:r>
            <w:fldChar w:fldCharType="end"/>
          </w:r>
        </w:p>
      </w:sdtContent>
    </w:sdt>
    <w:p w14:paraId="34F00FBF" w14:textId="77777777" w:rsidR="00573809" w:rsidRDefault="00573809">
      <w:pPr>
        <w:sectPr w:rsidR="00573809">
          <w:headerReference w:type="default" r:id="rId28"/>
          <w:footerReference w:type="default" r:id="rId29"/>
          <w:pgSz w:w="11906" w:h="16838"/>
          <w:pgMar w:top="1417" w:right="1417" w:bottom="1134" w:left="1417" w:header="708" w:footer="708" w:gutter="0"/>
          <w:pgNumType w:start="1"/>
          <w:cols w:space="720"/>
        </w:sectPr>
      </w:pPr>
    </w:p>
    <w:p w14:paraId="7898EAA6" w14:textId="77777777" w:rsidR="00FD1591" w:rsidRDefault="000C74B4">
      <w:pPr>
        <w:pStyle w:val="1"/>
        <w:rPr>
          <w:sz w:val="28"/>
          <w:szCs w:val="28"/>
        </w:rPr>
      </w:pPr>
      <w:bookmarkStart w:id="3" w:name="_Toc103249335"/>
      <w:r>
        <w:rPr>
          <w:sz w:val="28"/>
          <w:szCs w:val="28"/>
        </w:rPr>
        <w:lastRenderedPageBreak/>
        <w:t>Introduction</w:t>
      </w:r>
      <w:bookmarkEnd w:id="3"/>
    </w:p>
    <w:p w14:paraId="1D6EE176" w14:textId="77777777" w:rsidR="00FD1591" w:rsidRDefault="000C74B4">
      <w:pPr>
        <w:rPr>
          <w:sz w:val="24"/>
          <w:szCs w:val="24"/>
        </w:rPr>
      </w:pPr>
      <w:r>
        <w:rPr>
          <w:sz w:val="24"/>
          <w:szCs w:val="24"/>
        </w:rPr>
        <w:t>The following handbook belongs to the intellectual output 2 in the project MIG-DHL. This handbook covers all the six modules:</w:t>
      </w:r>
    </w:p>
    <w:p w14:paraId="41CC28C9" w14:textId="77777777" w:rsidR="00FD1591" w:rsidRDefault="000C74B4">
      <w:pPr>
        <w:numPr>
          <w:ilvl w:val="0"/>
          <w:numId w:val="1"/>
        </w:numPr>
        <w:pBdr>
          <w:top w:val="nil"/>
          <w:left w:val="nil"/>
          <w:bottom w:val="nil"/>
          <w:right w:val="nil"/>
          <w:between w:val="nil"/>
        </w:pBdr>
        <w:spacing w:after="0"/>
        <w:rPr>
          <w:b/>
          <w:color w:val="000000"/>
          <w:sz w:val="24"/>
          <w:szCs w:val="24"/>
        </w:rPr>
      </w:pPr>
      <w:r>
        <w:rPr>
          <w:b/>
          <w:color w:val="000000"/>
          <w:sz w:val="24"/>
          <w:szCs w:val="24"/>
        </w:rPr>
        <w:t>What is Digital Health Literacy and its relevance?</w:t>
      </w:r>
    </w:p>
    <w:p w14:paraId="50457458" w14:textId="77777777" w:rsidR="00FD1591" w:rsidRDefault="000C74B4">
      <w:pPr>
        <w:numPr>
          <w:ilvl w:val="0"/>
          <w:numId w:val="1"/>
        </w:numPr>
        <w:pBdr>
          <w:top w:val="nil"/>
          <w:left w:val="nil"/>
          <w:bottom w:val="nil"/>
          <w:right w:val="nil"/>
          <w:between w:val="nil"/>
        </w:pBdr>
        <w:spacing w:after="0"/>
        <w:rPr>
          <w:color w:val="000000"/>
          <w:sz w:val="24"/>
          <w:szCs w:val="24"/>
        </w:rPr>
      </w:pPr>
      <w:r>
        <w:rPr>
          <w:color w:val="000000"/>
          <w:sz w:val="24"/>
          <w:szCs w:val="24"/>
        </w:rPr>
        <w:t>Main health issues when landing in a new country</w:t>
      </w:r>
    </w:p>
    <w:p w14:paraId="138D3F32" w14:textId="77777777" w:rsidR="00FD1591" w:rsidRDefault="000C74B4">
      <w:pPr>
        <w:numPr>
          <w:ilvl w:val="0"/>
          <w:numId w:val="1"/>
        </w:numPr>
        <w:pBdr>
          <w:top w:val="nil"/>
          <w:left w:val="nil"/>
          <w:bottom w:val="nil"/>
          <w:right w:val="nil"/>
          <w:between w:val="nil"/>
        </w:pBdr>
        <w:spacing w:after="0"/>
        <w:rPr>
          <w:color w:val="000000"/>
          <w:sz w:val="24"/>
          <w:szCs w:val="24"/>
        </w:rPr>
      </w:pPr>
      <w:r>
        <w:rPr>
          <w:color w:val="000000"/>
          <w:sz w:val="24"/>
          <w:szCs w:val="24"/>
        </w:rPr>
        <w:t>Healthcare Services</w:t>
      </w:r>
    </w:p>
    <w:p w14:paraId="2CBE11DE" w14:textId="77777777" w:rsidR="00FD1591" w:rsidRDefault="000C74B4">
      <w:pPr>
        <w:numPr>
          <w:ilvl w:val="0"/>
          <w:numId w:val="1"/>
        </w:numPr>
        <w:pBdr>
          <w:top w:val="nil"/>
          <w:left w:val="nil"/>
          <w:bottom w:val="nil"/>
          <w:right w:val="nil"/>
          <w:between w:val="nil"/>
        </w:pBdr>
        <w:spacing w:after="0"/>
        <w:rPr>
          <w:color w:val="000000"/>
          <w:sz w:val="24"/>
          <w:szCs w:val="24"/>
        </w:rPr>
      </w:pPr>
      <w:r>
        <w:rPr>
          <w:color w:val="000000"/>
          <w:sz w:val="24"/>
          <w:szCs w:val="24"/>
        </w:rPr>
        <w:t>Turning digitally literate</w:t>
      </w:r>
    </w:p>
    <w:p w14:paraId="12C04E0A" w14:textId="77777777" w:rsidR="00FD1591" w:rsidRDefault="000C74B4">
      <w:pPr>
        <w:numPr>
          <w:ilvl w:val="0"/>
          <w:numId w:val="1"/>
        </w:numPr>
        <w:pBdr>
          <w:top w:val="nil"/>
          <w:left w:val="nil"/>
          <w:bottom w:val="nil"/>
          <w:right w:val="nil"/>
          <w:between w:val="nil"/>
        </w:pBdr>
        <w:spacing w:after="0"/>
        <w:rPr>
          <w:color w:val="000000"/>
          <w:sz w:val="24"/>
          <w:szCs w:val="24"/>
        </w:rPr>
      </w:pPr>
      <w:r>
        <w:rPr>
          <w:color w:val="000000"/>
          <w:sz w:val="24"/>
          <w:szCs w:val="24"/>
        </w:rPr>
        <w:t>Exploring digital health tools</w:t>
      </w:r>
    </w:p>
    <w:p w14:paraId="767E87AF" w14:textId="77777777" w:rsidR="00FD1591" w:rsidRDefault="000C74B4">
      <w:pPr>
        <w:numPr>
          <w:ilvl w:val="0"/>
          <w:numId w:val="1"/>
        </w:numPr>
        <w:pBdr>
          <w:top w:val="nil"/>
          <w:left w:val="nil"/>
          <w:bottom w:val="nil"/>
          <w:right w:val="nil"/>
          <w:between w:val="nil"/>
        </w:pBdr>
        <w:rPr>
          <w:color w:val="000000"/>
          <w:sz w:val="24"/>
          <w:szCs w:val="24"/>
        </w:rPr>
      </w:pPr>
      <w:r>
        <w:rPr>
          <w:color w:val="000000"/>
          <w:sz w:val="24"/>
          <w:szCs w:val="24"/>
        </w:rPr>
        <w:t>Being active in the digital environment</w:t>
      </w:r>
    </w:p>
    <w:p w14:paraId="6F282B4C" w14:textId="77777777" w:rsidR="00FD1591" w:rsidRDefault="000C74B4">
      <w:pPr>
        <w:rPr>
          <w:sz w:val="24"/>
          <w:szCs w:val="24"/>
        </w:rPr>
      </w:pPr>
      <w:r>
        <w:rPr>
          <w:sz w:val="24"/>
          <w:szCs w:val="24"/>
        </w:rPr>
        <w:t>The handbook itself is addressed specifically to trainers and supporters (social workers, health professionals, etc.). The idea is to provide a deeper knowledge about the topics discussed in the training sessions, so the content of the training materials gets clearer to the trainer. Also, the trainer is prepared to answer questions, which are more detailed than the information given in the training materials. Therefore, this handbook provides a deeper knowledge and linkages to additional resources related to the content- primarily for the trainers, but of course also for all other people who would like to learn more about the topics.</w:t>
      </w:r>
    </w:p>
    <w:p w14:paraId="73120402" w14:textId="77777777" w:rsidR="00FD1591" w:rsidRDefault="000C74B4">
      <w:pPr>
        <w:rPr>
          <w:sz w:val="24"/>
          <w:szCs w:val="24"/>
        </w:rPr>
      </w:pPr>
      <w:r>
        <w:rPr>
          <w:sz w:val="24"/>
          <w:szCs w:val="24"/>
        </w:rPr>
        <w:t>The structure of the handbook is orientated on the structure of the training programme. Every module has a chapter around 6-8 pages.</w:t>
      </w:r>
    </w:p>
    <w:p w14:paraId="1530B53E" w14:textId="77777777" w:rsidR="00FD1591" w:rsidRDefault="000C74B4">
      <w:pPr>
        <w:rPr>
          <w:sz w:val="24"/>
          <w:szCs w:val="24"/>
        </w:rPr>
      </w:pPr>
      <w:r>
        <w:rPr>
          <w:sz w:val="24"/>
          <w:szCs w:val="24"/>
        </w:rPr>
        <w:t xml:space="preserve">This </w:t>
      </w:r>
      <w:proofErr w:type="gramStart"/>
      <w:r>
        <w:rPr>
          <w:sz w:val="24"/>
          <w:szCs w:val="24"/>
        </w:rPr>
        <w:t>particular handbook</w:t>
      </w:r>
      <w:proofErr w:type="gramEnd"/>
      <w:r>
        <w:rPr>
          <w:sz w:val="24"/>
          <w:szCs w:val="24"/>
        </w:rPr>
        <w:t xml:space="preserve"> contains information relating to </w:t>
      </w:r>
      <w:r>
        <w:rPr>
          <w:b/>
          <w:sz w:val="24"/>
          <w:szCs w:val="24"/>
        </w:rPr>
        <w:t>Module 1, What is DHL and its relevance</w:t>
      </w:r>
      <w:r>
        <w:rPr>
          <w:sz w:val="24"/>
          <w:szCs w:val="24"/>
        </w:rPr>
        <w:t>. Therefore, here you will find the necessary theoretical information to support the contents and activities of DPTA_1.</w:t>
      </w:r>
    </w:p>
    <w:p w14:paraId="08A5D063" w14:textId="77777777" w:rsidR="00FD1591" w:rsidRDefault="000C74B4">
      <w:pPr>
        <w:rPr>
          <w:sz w:val="24"/>
          <w:szCs w:val="24"/>
        </w:rPr>
      </w:pPr>
      <w:r>
        <w:rPr>
          <w:sz w:val="24"/>
          <w:szCs w:val="24"/>
        </w:rPr>
        <w:t>Module 1 has a clearly introductory character and aims to present the contents of the course in a practical way, so that trainees are attracted to the contents of the course.  Therefore, the contents of this handbook are based on providing a short piece of information regarding the Erasmus+ programme, the concept of digital health literacy and why this is relevant for migrants.</w:t>
      </w:r>
      <w:r>
        <w:br w:type="page"/>
      </w:r>
    </w:p>
    <w:p w14:paraId="5C3816AB" w14:textId="77777777" w:rsidR="00FD1591" w:rsidRDefault="000C74B4">
      <w:pPr>
        <w:pStyle w:val="1"/>
      </w:pPr>
      <w:bookmarkStart w:id="4" w:name="_Toc103249336"/>
      <w:r>
        <w:lastRenderedPageBreak/>
        <w:t>1. What is Digital Health Literacy and its relevance</w:t>
      </w:r>
      <w:bookmarkEnd w:id="4"/>
    </w:p>
    <w:p w14:paraId="6ECA7A81" w14:textId="77777777" w:rsidR="00FD1591" w:rsidRDefault="000C74B4">
      <w:pPr>
        <w:pStyle w:val="2"/>
      </w:pPr>
      <w:bookmarkStart w:id="5" w:name="_Toc103249337"/>
      <w:r>
        <w:t>1.1 The ERASMUS+ Programme.</w:t>
      </w:r>
      <w:bookmarkEnd w:id="5"/>
      <w:r>
        <w:t xml:space="preserve"> </w:t>
      </w:r>
    </w:p>
    <w:p w14:paraId="68CAA5A4" w14:textId="77777777" w:rsidR="00FD1591" w:rsidRDefault="000C74B4">
      <w:pPr>
        <w:rPr>
          <w:sz w:val="24"/>
          <w:szCs w:val="24"/>
        </w:rPr>
      </w:pPr>
      <w:r>
        <w:rPr>
          <w:sz w:val="24"/>
          <w:szCs w:val="24"/>
        </w:rPr>
        <w:t xml:space="preserve">Erasmus+ is the EU Programme in the fields of education, training, </w:t>
      </w:r>
      <w:proofErr w:type="gramStart"/>
      <w:r>
        <w:rPr>
          <w:sz w:val="24"/>
          <w:szCs w:val="24"/>
        </w:rPr>
        <w:t>youth</w:t>
      </w:r>
      <w:proofErr w:type="gramEnd"/>
      <w:r>
        <w:rPr>
          <w:sz w:val="24"/>
          <w:szCs w:val="24"/>
        </w:rPr>
        <w:t xml:space="preserve"> and sport for the period 2021-2027. Education, training, </w:t>
      </w:r>
      <w:proofErr w:type="gramStart"/>
      <w:r>
        <w:rPr>
          <w:sz w:val="24"/>
          <w:szCs w:val="24"/>
        </w:rPr>
        <w:t>youth</w:t>
      </w:r>
      <w:proofErr w:type="gramEnd"/>
      <w:r>
        <w:rPr>
          <w:sz w:val="24"/>
          <w:szCs w:val="24"/>
        </w:rPr>
        <w:t xml:space="preserve"> and sport are key areas that support citizens in their personal and professional development. High quality, inclusive </w:t>
      </w:r>
      <w:proofErr w:type="gramStart"/>
      <w:r>
        <w:rPr>
          <w:sz w:val="24"/>
          <w:szCs w:val="24"/>
        </w:rPr>
        <w:t>education</w:t>
      </w:r>
      <w:proofErr w:type="gramEnd"/>
      <w:r>
        <w:rPr>
          <w:sz w:val="24"/>
          <w:szCs w:val="24"/>
        </w:rPr>
        <w:t xml:space="preserve"> and training, as well as informal and non-formal learning, ultimately equip young people and participants of all ages with the qualifications and skills needed for their meaningful participation in democratic society, intercultural understanding and successful transition in the labour market. Building on the success of the programme in the period 2014-2020, Erasmus+ strengthens its efforts to increase the opportunities offered to more participants and to a wider range of organisations, focusing on its qualitative impact and contributing to more inclusive and cohesive, </w:t>
      </w:r>
      <w:proofErr w:type="gramStart"/>
      <w:r>
        <w:rPr>
          <w:sz w:val="24"/>
          <w:szCs w:val="24"/>
        </w:rPr>
        <w:t>greener</w:t>
      </w:r>
      <w:proofErr w:type="gramEnd"/>
      <w:r>
        <w:rPr>
          <w:sz w:val="24"/>
          <w:szCs w:val="24"/>
        </w:rPr>
        <w:t xml:space="preserve"> and digitally fit societies </w:t>
      </w:r>
    </w:p>
    <w:p w14:paraId="41416B4E" w14:textId="77777777" w:rsidR="00FD1591" w:rsidRDefault="000C74B4">
      <w:pPr>
        <w:rPr>
          <w:sz w:val="24"/>
          <w:szCs w:val="24"/>
        </w:rPr>
      </w:pPr>
      <w:r>
        <w:rPr>
          <w:sz w:val="24"/>
          <w:szCs w:val="24"/>
        </w:rPr>
        <w:t>As the COVID-19 pandemic has shown, access to education is proving, more than ever, to be essential to ensuring a swift recovery, while promoting equal opportunities for all. As part of this recovery process, the Erasmus+ programme takes its inclusive dimension to a new horizon by supporting opportunities for personal, socio-</w:t>
      </w:r>
      <w:proofErr w:type="gramStart"/>
      <w:r>
        <w:rPr>
          <w:sz w:val="24"/>
          <w:szCs w:val="24"/>
        </w:rPr>
        <w:t>educational</w:t>
      </w:r>
      <w:proofErr w:type="gramEnd"/>
      <w:r>
        <w:rPr>
          <w:sz w:val="24"/>
          <w:szCs w:val="24"/>
        </w:rPr>
        <w:t xml:space="preserve"> and professional development of people in Europe and beyond, with the aim of leaving no-one behind. To increase the qualitative impact of its actions and ensure equal opportunities, the Programme will reach out more and better to people of different ages and from diverse cultural, </w:t>
      </w:r>
      <w:proofErr w:type="gramStart"/>
      <w:r>
        <w:rPr>
          <w:sz w:val="24"/>
          <w:szCs w:val="24"/>
        </w:rPr>
        <w:t>social</w:t>
      </w:r>
      <w:proofErr w:type="gramEnd"/>
      <w:r>
        <w:rPr>
          <w:sz w:val="24"/>
          <w:szCs w:val="24"/>
        </w:rPr>
        <w:t xml:space="preserve"> and economic backgrounds. It is at the heart of the Programme to come closer to those with fewer opportunities, including people with disabilities and migrants, as well as European Union citizens living in remote areas or facing socio-economic difficulties. In doing so, the Programme will also encourage its participants, in particular young people to engage and learn to participate in civic society, raising awareness about European Union common values. The Programme will continue to empower young people and to encourage their participation in democratic life, particularly through supporting activities linked to the European Year of Youth 2022, which was announced in the State of the Union address in September 2021. Furthermore, developing digital skills and competences and skills in forward-looking fields, such as combating climate change, clean energy, artificial intelligence, robotics, big data analysis, etc. is essential for Europe's future sustainable growth and cohesion. The Programme </w:t>
      </w:r>
      <w:r>
        <w:rPr>
          <w:sz w:val="24"/>
          <w:szCs w:val="24"/>
        </w:rPr>
        <w:lastRenderedPageBreak/>
        <w:t xml:space="preserve">can make a meaningful contribution by stimulating innovation and bridging Europe's knowledge, </w:t>
      </w:r>
      <w:proofErr w:type="gramStart"/>
      <w:r>
        <w:rPr>
          <w:sz w:val="24"/>
          <w:szCs w:val="24"/>
        </w:rPr>
        <w:t>skills</w:t>
      </w:r>
      <w:proofErr w:type="gramEnd"/>
      <w:r>
        <w:rPr>
          <w:sz w:val="24"/>
          <w:szCs w:val="24"/>
        </w:rPr>
        <w:t xml:space="preserve"> and competences gap. EU businesses need to become more competitive through talent and innovation. This investment in knowledge, skills and competences will benefit individuals, institutions, </w:t>
      </w:r>
      <w:proofErr w:type="gramStart"/>
      <w:r>
        <w:rPr>
          <w:sz w:val="24"/>
          <w:szCs w:val="24"/>
        </w:rPr>
        <w:t>organisations</w:t>
      </w:r>
      <w:proofErr w:type="gramEnd"/>
      <w:r>
        <w:rPr>
          <w:sz w:val="24"/>
          <w:szCs w:val="24"/>
        </w:rPr>
        <w:t xml:space="preserve"> and society as a whole by contributing to sustainable growth and ensuring equity, prosperity and social inclusion in Europe and beyond.</w:t>
      </w:r>
    </w:p>
    <w:p w14:paraId="05BE6A4E" w14:textId="77777777" w:rsidR="00FD1591" w:rsidRDefault="000C74B4">
      <w:pPr>
        <w:rPr>
          <w:sz w:val="24"/>
          <w:szCs w:val="24"/>
        </w:rPr>
      </w:pPr>
      <w:r>
        <w:rPr>
          <w:sz w:val="24"/>
          <w:szCs w:val="24"/>
        </w:rPr>
        <w:t xml:space="preserve">Inside ERASMUS+ Programme, the </w:t>
      </w:r>
      <w:r>
        <w:rPr>
          <w:b/>
          <w:sz w:val="24"/>
          <w:szCs w:val="24"/>
        </w:rPr>
        <w:t>Key Action 2: Cooperation among organisations and institutions</w:t>
      </w:r>
      <w:r>
        <w:rPr>
          <w:sz w:val="24"/>
          <w:szCs w:val="24"/>
        </w:rPr>
        <w:t xml:space="preserve">, is expected to result in the development, transfer and/or implementation of innovative practices at organisational, local, regional, </w:t>
      </w:r>
      <w:proofErr w:type="gramStart"/>
      <w:r>
        <w:rPr>
          <w:sz w:val="24"/>
          <w:szCs w:val="24"/>
        </w:rPr>
        <w:t>national</w:t>
      </w:r>
      <w:proofErr w:type="gramEnd"/>
      <w:r>
        <w:rPr>
          <w:sz w:val="24"/>
          <w:szCs w:val="24"/>
        </w:rPr>
        <w:t xml:space="preserve"> or European levels. </w:t>
      </w:r>
      <w:r>
        <w:t xml:space="preserve">Projects funded under this Key Action are also likely to have a positive impact on the persons directly or indirectly involved in the activities, such as an increased level of digital competence. Thus, the impact of this Key Action is expected to be, among others, an improved provision and assessment of basic and transversal skills, particularly: entrepreneurship, social, civic, intercultural and language competences, critical thinking, digital </w:t>
      </w:r>
      <w:proofErr w:type="gramStart"/>
      <w:r>
        <w:t>skills</w:t>
      </w:r>
      <w:proofErr w:type="gramEnd"/>
      <w:r>
        <w:t xml:space="preserve"> and media literacy. </w:t>
      </w:r>
    </w:p>
    <w:p w14:paraId="7500D314" w14:textId="77777777" w:rsidR="00FD1591" w:rsidRDefault="000C74B4">
      <w:pPr>
        <w:pStyle w:val="2"/>
      </w:pPr>
      <w:bookmarkStart w:id="6" w:name="_Toc103249338"/>
      <w:r>
        <w:t>1.2 Digital Health Literacy Concept</w:t>
      </w:r>
      <w:bookmarkEnd w:id="6"/>
    </w:p>
    <w:p w14:paraId="3BAE8E91" w14:textId="77777777" w:rsidR="00FD1591" w:rsidRDefault="000C74B4">
      <w:pPr>
        <w:pBdr>
          <w:top w:val="nil"/>
          <w:left w:val="nil"/>
          <w:bottom w:val="nil"/>
          <w:right w:val="nil"/>
          <w:between w:val="nil"/>
        </w:pBdr>
        <w:rPr>
          <w:color w:val="000000"/>
          <w:sz w:val="24"/>
          <w:szCs w:val="24"/>
        </w:rPr>
      </w:pPr>
      <w:r>
        <w:rPr>
          <w:color w:val="000000"/>
          <w:sz w:val="24"/>
          <w:szCs w:val="24"/>
        </w:rPr>
        <w:t xml:space="preserve">The main definition of Digital Health Literacy, which is even used by the World Health Organization (WHO, 2017), is the one developed by Norman and Skinner. </w:t>
      </w:r>
      <w:proofErr w:type="gramStart"/>
      <w:r>
        <w:rPr>
          <w:color w:val="000000"/>
          <w:sz w:val="24"/>
          <w:szCs w:val="24"/>
        </w:rPr>
        <w:t>In regard to</w:t>
      </w:r>
      <w:proofErr w:type="gramEnd"/>
      <w:r>
        <w:rPr>
          <w:color w:val="000000"/>
          <w:sz w:val="24"/>
          <w:szCs w:val="24"/>
        </w:rPr>
        <w:t xml:space="preserve"> this definition, Digital Health Literacy is defined as “[…] the ability to seek, find, understand, and appraise health information from electronic sources and to apply the knowledge gained to addressing or solving a health problem” (Norman and Skinner, 2006)</w:t>
      </w:r>
    </w:p>
    <w:p w14:paraId="32A02486" w14:textId="77777777" w:rsidR="00FD1591" w:rsidRDefault="000C74B4">
      <w:pPr>
        <w:pBdr>
          <w:top w:val="nil"/>
          <w:left w:val="nil"/>
          <w:bottom w:val="nil"/>
          <w:right w:val="nil"/>
          <w:between w:val="nil"/>
        </w:pBdr>
        <w:rPr>
          <w:color w:val="000000"/>
          <w:sz w:val="24"/>
          <w:szCs w:val="24"/>
        </w:rPr>
      </w:pPr>
      <w:r>
        <w:rPr>
          <w:color w:val="000000"/>
          <w:sz w:val="24"/>
          <w:szCs w:val="24"/>
        </w:rPr>
        <w:t xml:space="preserve">This definition gives a first idea of the meaning of Digital Health Literacy. To gain a better understanding of the concept of Digital Health Literacy, it is worth to have a look on the different competences which are included in the concept of Digital Health Literacy. There are six different literacies which are combined by the term Digital Health Literacy: 1) traditional literacy, 2) health literacy, 3) information literacy, 4) scientific literacy, 5) media literacy, and 6) computer literacy (Norman and Skinner, 2006). </w:t>
      </w:r>
    </w:p>
    <w:p w14:paraId="44A5E5F9" w14:textId="77777777" w:rsidR="00FD1591" w:rsidRDefault="00FD1591">
      <w:pPr>
        <w:pBdr>
          <w:top w:val="nil"/>
          <w:left w:val="nil"/>
          <w:bottom w:val="nil"/>
          <w:right w:val="nil"/>
          <w:between w:val="nil"/>
        </w:pBdr>
        <w:rPr>
          <w:color w:val="000000"/>
          <w:sz w:val="24"/>
          <w:szCs w:val="24"/>
        </w:rPr>
      </w:pPr>
    </w:p>
    <w:p w14:paraId="2B744B43" w14:textId="77777777" w:rsidR="00FD1591" w:rsidRDefault="00FD1591">
      <w:pPr>
        <w:pBdr>
          <w:top w:val="nil"/>
          <w:left w:val="nil"/>
          <w:bottom w:val="nil"/>
          <w:right w:val="nil"/>
          <w:between w:val="nil"/>
        </w:pBdr>
        <w:rPr>
          <w:color w:val="000000"/>
          <w:sz w:val="24"/>
          <w:szCs w:val="24"/>
        </w:rPr>
      </w:pPr>
    </w:p>
    <w:p w14:paraId="27781FF5" w14:textId="77777777" w:rsidR="00FD1591" w:rsidRDefault="000C74B4">
      <w:pPr>
        <w:pBdr>
          <w:top w:val="nil"/>
          <w:left w:val="nil"/>
          <w:bottom w:val="nil"/>
          <w:right w:val="nil"/>
          <w:between w:val="nil"/>
        </w:pBdr>
        <w:spacing w:after="200" w:line="240" w:lineRule="auto"/>
        <w:rPr>
          <w:i/>
          <w:color w:val="44546A"/>
          <w:sz w:val="18"/>
          <w:szCs w:val="18"/>
        </w:rPr>
      </w:pPr>
      <w:r>
        <w:rPr>
          <w:noProof/>
          <w:lang w:val="de-DE"/>
        </w:rPr>
        <w:lastRenderedPageBreak/>
        <w:drawing>
          <wp:anchor distT="0" distB="0" distL="114300" distR="114300" simplePos="0" relativeHeight="251658240" behindDoc="0" locked="0" layoutInCell="1" hidden="0" allowOverlap="1" wp14:anchorId="5C25B0A1" wp14:editId="2CF5F292">
            <wp:simplePos x="0" y="0"/>
            <wp:positionH relativeFrom="column">
              <wp:posOffset>9627</wp:posOffset>
            </wp:positionH>
            <wp:positionV relativeFrom="paragraph">
              <wp:posOffset>200</wp:posOffset>
            </wp:positionV>
            <wp:extent cx="3705225" cy="3771900"/>
            <wp:effectExtent l="0" t="0" r="0" b="0"/>
            <wp:wrapSquare wrapText="bothSides" distT="0" distB="0" distL="114300" distR="114300"/>
            <wp:docPr id="7" name="image3.png" descr="Diagram, venn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Diagram, venn diagram&#10;&#10;Description automatically generated"/>
                    <pic:cNvPicPr preferRelativeResize="0"/>
                  </pic:nvPicPr>
                  <pic:blipFill>
                    <a:blip r:embed="rId30"/>
                    <a:srcRect/>
                    <a:stretch>
                      <a:fillRect/>
                    </a:stretch>
                  </pic:blipFill>
                  <pic:spPr>
                    <a:xfrm>
                      <a:off x="0" y="0"/>
                      <a:ext cx="3705225" cy="3771900"/>
                    </a:xfrm>
                    <a:prstGeom prst="rect">
                      <a:avLst/>
                    </a:prstGeom>
                    <a:ln/>
                  </pic:spPr>
                </pic:pic>
              </a:graphicData>
            </a:graphic>
          </wp:anchor>
        </w:drawing>
      </w:r>
    </w:p>
    <w:p w14:paraId="466ED2F2" w14:textId="77777777" w:rsidR="00FD1591" w:rsidRDefault="00FD1591">
      <w:pPr>
        <w:pBdr>
          <w:top w:val="nil"/>
          <w:left w:val="nil"/>
          <w:bottom w:val="nil"/>
          <w:right w:val="nil"/>
          <w:between w:val="nil"/>
        </w:pBdr>
        <w:spacing w:after="200" w:line="240" w:lineRule="auto"/>
        <w:rPr>
          <w:i/>
          <w:color w:val="44546A"/>
          <w:sz w:val="18"/>
          <w:szCs w:val="18"/>
        </w:rPr>
      </w:pPr>
    </w:p>
    <w:p w14:paraId="249F58B2" w14:textId="77777777" w:rsidR="00FD1591" w:rsidRDefault="00FD1591">
      <w:pPr>
        <w:pBdr>
          <w:top w:val="nil"/>
          <w:left w:val="nil"/>
          <w:bottom w:val="nil"/>
          <w:right w:val="nil"/>
          <w:between w:val="nil"/>
        </w:pBdr>
        <w:spacing w:after="200" w:line="240" w:lineRule="auto"/>
        <w:rPr>
          <w:i/>
          <w:color w:val="44546A"/>
          <w:sz w:val="18"/>
          <w:szCs w:val="18"/>
        </w:rPr>
      </w:pPr>
    </w:p>
    <w:p w14:paraId="101A62C8" w14:textId="77777777" w:rsidR="00FD1591" w:rsidRDefault="00FD1591">
      <w:pPr>
        <w:pBdr>
          <w:top w:val="nil"/>
          <w:left w:val="nil"/>
          <w:bottom w:val="nil"/>
          <w:right w:val="nil"/>
          <w:between w:val="nil"/>
        </w:pBdr>
        <w:spacing w:after="200" w:line="240" w:lineRule="auto"/>
        <w:rPr>
          <w:i/>
          <w:color w:val="44546A"/>
          <w:sz w:val="18"/>
          <w:szCs w:val="18"/>
        </w:rPr>
      </w:pPr>
    </w:p>
    <w:p w14:paraId="5F4C5C62" w14:textId="77777777" w:rsidR="00FD1591" w:rsidRDefault="00FD1591">
      <w:pPr>
        <w:pBdr>
          <w:top w:val="nil"/>
          <w:left w:val="nil"/>
          <w:bottom w:val="nil"/>
          <w:right w:val="nil"/>
          <w:between w:val="nil"/>
        </w:pBdr>
        <w:spacing w:after="200" w:line="240" w:lineRule="auto"/>
        <w:rPr>
          <w:i/>
          <w:color w:val="44546A"/>
          <w:sz w:val="18"/>
          <w:szCs w:val="18"/>
        </w:rPr>
      </w:pPr>
    </w:p>
    <w:p w14:paraId="0F81119E" w14:textId="77777777" w:rsidR="00FD1591" w:rsidRDefault="00FD1591">
      <w:pPr>
        <w:pBdr>
          <w:top w:val="nil"/>
          <w:left w:val="nil"/>
          <w:bottom w:val="nil"/>
          <w:right w:val="nil"/>
          <w:between w:val="nil"/>
        </w:pBdr>
        <w:spacing w:after="200" w:line="240" w:lineRule="auto"/>
        <w:rPr>
          <w:i/>
          <w:color w:val="44546A"/>
          <w:sz w:val="18"/>
          <w:szCs w:val="18"/>
        </w:rPr>
      </w:pPr>
    </w:p>
    <w:p w14:paraId="658D9118" w14:textId="77777777" w:rsidR="00FD1591" w:rsidRDefault="00FD1591">
      <w:pPr>
        <w:pBdr>
          <w:top w:val="nil"/>
          <w:left w:val="nil"/>
          <w:bottom w:val="nil"/>
          <w:right w:val="nil"/>
          <w:between w:val="nil"/>
        </w:pBdr>
        <w:spacing w:after="200" w:line="240" w:lineRule="auto"/>
        <w:rPr>
          <w:i/>
          <w:color w:val="44546A"/>
          <w:sz w:val="18"/>
          <w:szCs w:val="18"/>
        </w:rPr>
      </w:pPr>
    </w:p>
    <w:p w14:paraId="0304367D" w14:textId="77777777" w:rsidR="00FD1591" w:rsidRDefault="00FD1591">
      <w:pPr>
        <w:pBdr>
          <w:top w:val="nil"/>
          <w:left w:val="nil"/>
          <w:bottom w:val="nil"/>
          <w:right w:val="nil"/>
          <w:between w:val="nil"/>
        </w:pBdr>
        <w:spacing w:after="200" w:line="240" w:lineRule="auto"/>
        <w:rPr>
          <w:i/>
          <w:color w:val="44546A"/>
          <w:sz w:val="18"/>
          <w:szCs w:val="18"/>
        </w:rPr>
      </w:pPr>
    </w:p>
    <w:p w14:paraId="53AB1B0C" w14:textId="77777777" w:rsidR="00FD1591" w:rsidRDefault="00FD1591">
      <w:pPr>
        <w:pBdr>
          <w:top w:val="nil"/>
          <w:left w:val="nil"/>
          <w:bottom w:val="nil"/>
          <w:right w:val="nil"/>
          <w:between w:val="nil"/>
        </w:pBdr>
        <w:spacing w:after="200" w:line="240" w:lineRule="auto"/>
        <w:rPr>
          <w:i/>
          <w:color w:val="44546A"/>
          <w:sz w:val="18"/>
          <w:szCs w:val="18"/>
        </w:rPr>
      </w:pPr>
    </w:p>
    <w:p w14:paraId="663979B2" w14:textId="77777777" w:rsidR="00FD1591" w:rsidRDefault="00FD1591">
      <w:pPr>
        <w:pBdr>
          <w:top w:val="nil"/>
          <w:left w:val="nil"/>
          <w:bottom w:val="nil"/>
          <w:right w:val="nil"/>
          <w:between w:val="nil"/>
        </w:pBdr>
        <w:spacing w:after="200" w:line="240" w:lineRule="auto"/>
        <w:rPr>
          <w:i/>
          <w:color w:val="44546A"/>
          <w:sz w:val="18"/>
          <w:szCs w:val="18"/>
        </w:rPr>
      </w:pPr>
    </w:p>
    <w:p w14:paraId="45FE8671" w14:textId="77777777" w:rsidR="00FD1591" w:rsidRDefault="00FD1591">
      <w:pPr>
        <w:pBdr>
          <w:top w:val="nil"/>
          <w:left w:val="nil"/>
          <w:bottom w:val="nil"/>
          <w:right w:val="nil"/>
          <w:between w:val="nil"/>
        </w:pBdr>
        <w:spacing w:after="200" w:line="240" w:lineRule="auto"/>
        <w:rPr>
          <w:i/>
          <w:color w:val="44546A"/>
          <w:sz w:val="18"/>
          <w:szCs w:val="18"/>
        </w:rPr>
      </w:pPr>
    </w:p>
    <w:p w14:paraId="507882A7" w14:textId="77777777" w:rsidR="00FD1591" w:rsidRDefault="00FD1591">
      <w:pPr>
        <w:pBdr>
          <w:top w:val="nil"/>
          <w:left w:val="nil"/>
          <w:bottom w:val="nil"/>
          <w:right w:val="nil"/>
          <w:between w:val="nil"/>
        </w:pBdr>
        <w:spacing w:after="200" w:line="240" w:lineRule="auto"/>
        <w:rPr>
          <w:i/>
          <w:color w:val="44546A"/>
          <w:sz w:val="18"/>
          <w:szCs w:val="18"/>
        </w:rPr>
      </w:pPr>
    </w:p>
    <w:p w14:paraId="3A392632" w14:textId="77777777" w:rsidR="00FD1591" w:rsidRDefault="00FD1591">
      <w:pPr>
        <w:pBdr>
          <w:top w:val="nil"/>
          <w:left w:val="nil"/>
          <w:bottom w:val="nil"/>
          <w:right w:val="nil"/>
          <w:between w:val="nil"/>
        </w:pBdr>
        <w:spacing w:after="200" w:line="240" w:lineRule="auto"/>
        <w:rPr>
          <w:i/>
          <w:color w:val="44546A"/>
          <w:sz w:val="18"/>
          <w:szCs w:val="18"/>
        </w:rPr>
      </w:pPr>
    </w:p>
    <w:p w14:paraId="3D7B2AB9" w14:textId="77777777" w:rsidR="00FD1591" w:rsidRDefault="00FD1591">
      <w:pPr>
        <w:pBdr>
          <w:top w:val="nil"/>
          <w:left w:val="nil"/>
          <w:bottom w:val="nil"/>
          <w:right w:val="nil"/>
          <w:between w:val="nil"/>
        </w:pBdr>
        <w:spacing w:after="200" w:line="240" w:lineRule="auto"/>
        <w:rPr>
          <w:i/>
          <w:color w:val="44546A"/>
          <w:sz w:val="18"/>
          <w:szCs w:val="18"/>
        </w:rPr>
      </w:pPr>
    </w:p>
    <w:p w14:paraId="3922DDE3" w14:textId="77777777" w:rsidR="00FD1591" w:rsidRDefault="00FD1591">
      <w:pPr>
        <w:pBdr>
          <w:top w:val="nil"/>
          <w:left w:val="nil"/>
          <w:bottom w:val="nil"/>
          <w:right w:val="nil"/>
          <w:between w:val="nil"/>
        </w:pBdr>
        <w:spacing w:after="200" w:line="240" w:lineRule="auto"/>
        <w:rPr>
          <w:i/>
          <w:color w:val="44546A"/>
          <w:sz w:val="18"/>
          <w:szCs w:val="18"/>
        </w:rPr>
      </w:pPr>
    </w:p>
    <w:p w14:paraId="09A72FC6" w14:textId="77777777" w:rsidR="00FD1591" w:rsidRDefault="000C74B4">
      <w:pPr>
        <w:pBdr>
          <w:top w:val="nil"/>
          <w:left w:val="nil"/>
          <w:bottom w:val="nil"/>
          <w:right w:val="nil"/>
          <w:between w:val="nil"/>
        </w:pBdr>
        <w:spacing w:after="200" w:line="240" w:lineRule="auto"/>
        <w:rPr>
          <w:i/>
          <w:color w:val="000000"/>
          <w:sz w:val="24"/>
          <w:szCs w:val="24"/>
        </w:rPr>
      </w:pPr>
      <w:r>
        <w:rPr>
          <w:i/>
          <w:color w:val="44546A"/>
          <w:sz w:val="18"/>
          <w:szCs w:val="18"/>
        </w:rPr>
        <w:t>Figure 1: eHealth literacy lily model (Norman and Skinner, 2006)</w:t>
      </w:r>
    </w:p>
    <w:p w14:paraId="6DE07E64" w14:textId="77777777" w:rsidR="00FD1591" w:rsidRDefault="000C74B4">
      <w:pPr>
        <w:rPr>
          <w:sz w:val="24"/>
          <w:szCs w:val="24"/>
        </w:rPr>
      </w:pPr>
      <w:r>
        <w:rPr>
          <w:sz w:val="24"/>
          <w:szCs w:val="24"/>
        </w:rPr>
        <w:t xml:space="preserve">In the MIG-DHL project we have built on this definition and, above all, on the dimensions of Digital Health Literacy proposed by van der </w:t>
      </w:r>
      <w:proofErr w:type="spellStart"/>
      <w:r>
        <w:rPr>
          <w:sz w:val="24"/>
          <w:szCs w:val="24"/>
        </w:rPr>
        <w:t>Vaart</w:t>
      </w:r>
      <w:proofErr w:type="spellEnd"/>
      <w:r>
        <w:rPr>
          <w:sz w:val="24"/>
          <w:szCs w:val="24"/>
        </w:rPr>
        <w:t xml:space="preserve"> &amp; </w:t>
      </w:r>
      <w:proofErr w:type="spellStart"/>
      <w:r>
        <w:rPr>
          <w:sz w:val="24"/>
          <w:szCs w:val="24"/>
        </w:rPr>
        <w:t>Drossaert</w:t>
      </w:r>
      <w:proofErr w:type="spellEnd"/>
      <w:r>
        <w:rPr>
          <w:sz w:val="24"/>
          <w:szCs w:val="24"/>
        </w:rPr>
        <w:t xml:space="preserve"> (van der </w:t>
      </w:r>
      <w:proofErr w:type="spellStart"/>
      <w:r>
        <w:rPr>
          <w:sz w:val="24"/>
          <w:szCs w:val="24"/>
        </w:rPr>
        <w:t>Vaart</w:t>
      </w:r>
      <w:proofErr w:type="spellEnd"/>
      <w:r>
        <w:rPr>
          <w:sz w:val="24"/>
          <w:szCs w:val="24"/>
        </w:rPr>
        <w:t xml:space="preserve"> &amp; </w:t>
      </w:r>
      <w:proofErr w:type="spellStart"/>
      <w:r>
        <w:rPr>
          <w:sz w:val="24"/>
          <w:szCs w:val="24"/>
        </w:rPr>
        <w:t>Drossaert</w:t>
      </w:r>
      <w:proofErr w:type="spellEnd"/>
      <w:r>
        <w:rPr>
          <w:sz w:val="24"/>
          <w:szCs w:val="24"/>
        </w:rPr>
        <w:t xml:space="preserve">, 2017). In their article, Development of the Digital Health Literacy Instrument: Measuring a Broad Spectrum of Health 1.0 and Health 2.0 Skills, they develop 7 different dimensions of Digital Health Literacy, as follows: </w:t>
      </w:r>
    </w:p>
    <w:p w14:paraId="585DBCC3" w14:textId="77777777" w:rsidR="00FD1591" w:rsidRDefault="000C74B4">
      <w:pPr>
        <w:rPr>
          <w:sz w:val="24"/>
          <w:szCs w:val="24"/>
        </w:rPr>
      </w:pPr>
      <w:r>
        <w:rPr>
          <w:b/>
          <w:sz w:val="24"/>
          <w:szCs w:val="24"/>
        </w:rPr>
        <w:t>(1) Operational skills</w:t>
      </w:r>
      <w:r>
        <w:rPr>
          <w:sz w:val="24"/>
          <w:szCs w:val="24"/>
        </w:rPr>
        <w:t>: to use the computer and Internet browser; Use the keyboard of a computer (e.g., to type words); Use the mouse (e.g., to put the cursor in the right field or to click); Use the buttons or links and hyperlinks on websites.</w:t>
      </w:r>
    </w:p>
    <w:p w14:paraId="1F1F5730" w14:textId="77777777" w:rsidR="00FD1591" w:rsidRDefault="000C74B4">
      <w:pPr>
        <w:rPr>
          <w:sz w:val="24"/>
          <w:szCs w:val="24"/>
        </w:rPr>
      </w:pPr>
      <w:r>
        <w:rPr>
          <w:b/>
          <w:sz w:val="24"/>
          <w:szCs w:val="24"/>
        </w:rPr>
        <w:t>(2) Navigation skills:</w:t>
      </w:r>
      <w:r>
        <w:rPr>
          <w:sz w:val="24"/>
          <w:szCs w:val="24"/>
        </w:rPr>
        <w:t xml:space="preserve"> to navigate and orientate on the </w:t>
      </w:r>
      <w:proofErr w:type="gramStart"/>
      <w:r>
        <w:rPr>
          <w:sz w:val="24"/>
          <w:szCs w:val="24"/>
        </w:rPr>
        <w:t>Web;</w:t>
      </w:r>
      <w:proofErr w:type="gramEnd"/>
      <w:r>
        <w:rPr>
          <w:sz w:val="24"/>
          <w:szCs w:val="24"/>
        </w:rPr>
        <w:t xml:space="preserve"> e.g., not to lose track of where you are on a website or the Internet; e.g., to know how to return to a previous page; e.g., to click on something and get to see what you expected, not something different. </w:t>
      </w:r>
    </w:p>
    <w:p w14:paraId="106097D2" w14:textId="77777777" w:rsidR="00FD1591" w:rsidRDefault="000C74B4">
      <w:pPr>
        <w:rPr>
          <w:sz w:val="24"/>
          <w:szCs w:val="24"/>
        </w:rPr>
      </w:pPr>
      <w:r>
        <w:rPr>
          <w:b/>
          <w:sz w:val="24"/>
          <w:szCs w:val="24"/>
        </w:rPr>
        <w:t>(3) Information searching skills</w:t>
      </w:r>
      <w:r>
        <w:rPr>
          <w:sz w:val="24"/>
          <w:szCs w:val="24"/>
        </w:rPr>
        <w:t xml:space="preserve">: to use correct search strategies; to use the proper words or search query to find the information you are looking for; to make a choice from all the information you find; to find the exact information you are looking for. </w:t>
      </w:r>
    </w:p>
    <w:p w14:paraId="64ACFC6C" w14:textId="77777777" w:rsidR="00FD1591" w:rsidRDefault="000C74B4">
      <w:pPr>
        <w:rPr>
          <w:sz w:val="24"/>
          <w:szCs w:val="24"/>
        </w:rPr>
      </w:pPr>
      <w:r>
        <w:rPr>
          <w:b/>
          <w:sz w:val="24"/>
          <w:szCs w:val="24"/>
        </w:rPr>
        <w:lastRenderedPageBreak/>
        <w:t>(4) Evaluating reliability of online information</w:t>
      </w:r>
      <w:r>
        <w:rPr>
          <w:sz w:val="24"/>
          <w:szCs w:val="24"/>
        </w:rPr>
        <w:t xml:space="preserve">: decide whether the information is reliable or not; decide whether the information is written in commercial interests (e.g., by people trying to sell a product); to check different websites to see whether they provide the same </w:t>
      </w:r>
      <w:proofErr w:type="gramStart"/>
      <w:r>
        <w:rPr>
          <w:sz w:val="24"/>
          <w:szCs w:val="24"/>
        </w:rPr>
        <w:t>information;</w:t>
      </w:r>
      <w:proofErr w:type="gramEnd"/>
      <w:r>
        <w:rPr>
          <w:sz w:val="24"/>
          <w:szCs w:val="24"/>
        </w:rPr>
        <w:t xml:space="preserve"> </w:t>
      </w:r>
    </w:p>
    <w:p w14:paraId="5B5CB0B8" w14:textId="77777777" w:rsidR="00FD1591" w:rsidRDefault="000C74B4">
      <w:pPr>
        <w:rPr>
          <w:sz w:val="24"/>
          <w:szCs w:val="24"/>
        </w:rPr>
      </w:pPr>
      <w:r>
        <w:rPr>
          <w:b/>
          <w:sz w:val="24"/>
          <w:szCs w:val="24"/>
        </w:rPr>
        <w:t>(5) Determining relevance of online information:</w:t>
      </w:r>
      <w:r>
        <w:rPr>
          <w:sz w:val="24"/>
          <w:szCs w:val="24"/>
        </w:rPr>
        <w:t xml:space="preserve"> to decide if the information you found is applicable to you; to apply the information you found in your daily life; to use the information you found to make decisions about your health (e.g., on nutrition, medication or to decide whether to ask a doctor’s opinion)</w:t>
      </w:r>
    </w:p>
    <w:p w14:paraId="0DF47BDB" w14:textId="77777777" w:rsidR="00FD1591" w:rsidRDefault="000C74B4">
      <w:pPr>
        <w:rPr>
          <w:sz w:val="24"/>
          <w:szCs w:val="24"/>
        </w:rPr>
      </w:pPr>
      <w:r>
        <w:rPr>
          <w:b/>
          <w:sz w:val="24"/>
          <w:szCs w:val="24"/>
        </w:rPr>
        <w:t>(6) Adding self-generated content to Web-based apps</w:t>
      </w:r>
      <w:r>
        <w:rPr>
          <w:sz w:val="24"/>
          <w:szCs w:val="24"/>
        </w:rPr>
        <w:t>: e.g., to clearly formulate your question or health-related worry; to express your opinion, thoughts, or feelings in writing; to write your message as such, for people to understand exactly what you mean.</w:t>
      </w:r>
    </w:p>
    <w:p w14:paraId="77404172" w14:textId="77777777" w:rsidR="00FD1591" w:rsidRDefault="000C74B4">
      <w:pPr>
        <w:rPr>
          <w:sz w:val="24"/>
          <w:szCs w:val="24"/>
        </w:rPr>
      </w:pPr>
      <w:r>
        <w:rPr>
          <w:b/>
          <w:sz w:val="24"/>
          <w:szCs w:val="24"/>
        </w:rPr>
        <w:t>(7) Protecting and respecting privacy while using the Internet</w:t>
      </w:r>
      <w:r>
        <w:rPr>
          <w:sz w:val="24"/>
          <w:szCs w:val="24"/>
        </w:rPr>
        <w:t xml:space="preserve">: e.g., to find it difficult to judge who can read along when you post a message on a public forum or social </w:t>
      </w:r>
      <w:proofErr w:type="gramStart"/>
      <w:r>
        <w:rPr>
          <w:sz w:val="24"/>
          <w:szCs w:val="24"/>
        </w:rPr>
        <w:t>media;</w:t>
      </w:r>
      <w:proofErr w:type="gramEnd"/>
      <w:r>
        <w:rPr>
          <w:sz w:val="24"/>
          <w:szCs w:val="24"/>
        </w:rPr>
        <w:t xml:space="preserve"> e.g., to (intentionally or unintentionally) share your own private information (e.g., name or address); to (intentionally or unintentionally) share some else’s private information. </w:t>
      </w:r>
    </w:p>
    <w:p w14:paraId="771B97CA" w14:textId="77777777" w:rsidR="00FD1591" w:rsidRDefault="000C74B4">
      <w:pPr>
        <w:pStyle w:val="2"/>
      </w:pPr>
      <w:bookmarkStart w:id="7" w:name="_Toc103249339"/>
      <w:r>
        <w:t>1.3 The relevance of Digital Health Literacy for migrants</w:t>
      </w:r>
      <w:bookmarkEnd w:id="7"/>
    </w:p>
    <w:p w14:paraId="789B1771" w14:textId="77777777" w:rsidR="00FD1591" w:rsidRDefault="000C74B4">
      <w:pPr>
        <w:rPr>
          <w:sz w:val="24"/>
          <w:szCs w:val="24"/>
        </w:rPr>
      </w:pPr>
      <w:r>
        <w:rPr>
          <w:sz w:val="24"/>
          <w:szCs w:val="24"/>
        </w:rPr>
        <w:t xml:space="preserve">Digital inclusion is defined by three basic tools: a computer, access to the internet and knowing how to use these two instruments. It is not enough to have a computer and internet access for a person to be digitally included, but it is also necessary for the person to know how to use these two tools. For this reason, people can be affected because if they are unaware of telematic procedures and how the new technologies work, this can limit the development of their full potential and therefore make it difficult for them to integrate into society. It is at this point that people experience processes of exclusion and dependence on those who have all the knowledge of computer tools and can consult and request some type of service, especially those that can only be requested online. And this dependency can result in people paying for help to be able to carry out telematic procedures when these procedures should not generate any cost (Parra and Vásquez, 2020). </w:t>
      </w:r>
    </w:p>
    <w:p w14:paraId="70DF3C04" w14:textId="77777777" w:rsidR="00FD1591" w:rsidRDefault="000C74B4">
      <w:pPr>
        <w:rPr>
          <w:color w:val="000000"/>
          <w:sz w:val="24"/>
          <w:szCs w:val="24"/>
        </w:rPr>
      </w:pPr>
      <w:r>
        <w:rPr>
          <w:b/>
          <w:sz w:val="24"/>
          <w:szCs w:val="24"/>
        </w:rPr>
        <w:t>This can be seen in the case of immigrants, as it has been yet another barrier to their full inclusion</w:t>
      </w:r>
      <w:r>
        <w:rPr>
          <w:sz w:val="24"/>
          <w:szCs w:val="24"/>
        </w:rPr>
        <w:t xml:space="preserve">. </w:t>
      </w:r>
      <w:proofErr w:type="gramStart"/>
      <w:r>
        <w:rPr>
          <w:b/>
          <w:sz w:val="24"/>
          <w:szCs w:val="24"/>
        </w:rPr>
        <w:t>In particular, it</w:t>
      </w:r>
      <w:proofErr w:type="gramEnd"/>
      <w:r>
        <w:rPr>
          <w:b/>
          <w:sz w:val="24"/>
          <w:szCs w:val="24"/>
        </w:rPr>
        <w:t xml:space="preserve"> affects groups with a socio-economic and cultural situation in </w:t>
      </w:r>
      <w:r>
        <w:rPr>
          <w:b/>
          <w:sz w:val="24"/>
          <w:szCs w:val="24"/>
        </w:rPr>
        <w:lastRenderedPageBreak/>
        <w:t>which the language of the native population is unknown, as they cannot access these procedures due to a lack of tools or knowledge of how they work</w:t>
      </w:r>
      <w:r>
        <w:rPr>
          <w:sz w:val="24"/>
          <w:szCs w:val="24"/>
        </w:rPr>
        <w:t xml:space="preserve">. For this reason, many immigrants turn to migrant associations seeking to alleviate this lack of knowledge about technology and to facilitate the telematic procedures necessary for their situation but find that the level of information and communication technologies used by immigrant associations is rather low, with only 46% of all associations having </w:t>
      </w:r>
      <w:proofErr w:type="gramStart"/>
      <w:r>
        <w:rPr>
          <w:sz w:val="24"/>
          <w:szCs w:val="24"/>
        </w:rPr>
        <w:t>some kind of web</w:t>
      </w:r>
      <w:proofErr w:type="gramEnd"/>
      <w:r>
        <w:rPr>
          <w:sz w:val="24"/>
          <w:szCs w:val="24"/>
        </w:rPr>
        <w:t xml:space="preserve"> presence (Parra and Vásquez, 2020).</w:t>
      </w:r>
    </w:p>
    <w:p w14:paraId="3F0E49EF" w14:textId="77777777" w:rsidR="00FD1591" w:rsidRDefault="000C74B4">
      <w:pPr>
        <w:rPr>
          <w:color w:val="000000"/>
          <w:sz w:val="24"/>
          <w:szCs w:val="24"/>
        </w:rPr>
      </w:pPr>
      <w:r>
        <w:rPr>
          <w:color w:val="000000"/>
          <w:sz w:val="24"/>
          <w:szCs w:val="24"/>
        </w:rPr>
        <w:t xml:space="preserve">Thus, the relevance of this form of literacy is demonstrated in recent studies, showing that people’s self-perceived skills to use online information </w:t>
      </w:r>
      <w:proofErr w:type="gramStart"/>
      <w:r>
        <w:rPr>
          <w:color w:val="000000"/>
          <w:sz w:val="24"/>
          <w:szCs w:val="24"/>
        </w:rPr>
        <w:t>actually affect</w:t>
      </w:r>
      <w:proofErr w:type="gramEnd"/>
      <w:r>
        <w:rPr>
          <w:color w:val="000000"/>
          <w:sz w:val="24"/>
          <w:szCs w:val="24"/>
        </w:rPr>
        <w:t xml:space="preserve"> their health and the quality of their health care, and that a lack of such skills may lead to adverse outcomes. Hsu et al. (Hsu et. al., 2014) found that digital health literacy skills are associated with various types of health </w:t>
      </w:r>
      <w:proofErr w:type="spellStart"/>
      <w:r>
        <w:rPr>
          <w:color w:val="000000"/>
          <w:sz w:val="24"/>
          <w:szCs w:val="24"/>
        </w:rPr>
        <w:t>behavior</w:t>
      </w:r>
      <w:proofErr w:type="spellEnd"/>
      <w:r>
        <w:rPr>
          <w:color w:val="000000"/>
          <w:sz w:val="24"/>
          <w:szCs w:val="24"/>
        </w:rPr>
        <w:t xml:space="preserve">, including healthy eating, exercise, and sleep </w:t>
      </w:r>
      <w:proofErr w:type="spellStart"/>
      <w:r>
        <w:rPr>
          <w:color w:val="000000"/>
          <w:sz w:val="24"/>
          <w:szCs w:val="24"/>
        </w:rPr>
        <w:t>behavior</w:t>
      </w:r>
      <w:proofErr w:type="spellEnd"/>
      <w:r>
        <w:rPr>
          <w:color w:val="000000"/>
          <w:sz w:val="24"/>
          <w:szCs w:val="24"/>
        </w:rPr>
        <w:t xml:space="preserve">. </w:t>
      </w:r>
      <w:proofErr w:type="spellStart"/>
      <w:r>
        <w:rPr>
          <w:color w:val="000000"/>
          <w:sz w:val="24"/>
          <w:szCs w:val="24"/>
        </w:rPr>
        <w:t>Neter</w:t>
      </w:r>
      <w:proofErr w:type="spellEnd"/>
      <w:r>
        <w:rPr>
          <w:color w:val="000000"/>
          <w:sz w:val="24"/>
          <w:szCs w:val="24"/>
        </w:rPr>
        <w:t xml:space="preserve"> and </w:t>
      </w:r>
      <w:proofErr w:type="spellStart"/>
      <w:r>
        <w:rPr>
          <w:color w:val="000000"/>
          <w:sz w:val="24"/>
          <w:szCs w:val="24"/>
        </w:rPr>
        <w:t>Brainin</w:t>
      </w:r>
      <w:proofErr w:type="spellEnd"/>
      <w:r>
        <w:rPr>
          <w:color w:val="000000"/>
          <w:sz w:val="24"/>
          <w:szCs w:val="24"/>
        </w:rPr>
        <w:t xml:space="preserve"> (</w:t>
      </w:r>
      <w:proofErr w:type="spellStart"/>
      <w:r>
        <w:rPr>
          <w:color w:val="000000"/>
          <w:sz w:val="24"/>
          <w:szCs w:val="24"/>
        </w:rPr>
        <w:t>Neter</w:t>
      </w:r>
      <w:proofErr w:type="spellEnd"/>
      <w:r>
        <w:rPr>
          <w:color w:val="000000"/>
          <w:sz w:val="24"/>
          <w:szCs w:val="24"/>
        </w:rPr>
        <w:t xml:space="preserve"> &amp; </w:t>
      </w:r>
      <w:proofErr w:type="spellStart"/>
      <w:r>
        <w:rPr>
          <w:color w:val="000000"/>
          <w:sz w:val="24"/>
          <w:szCs w:val="24"/>
        </w:rPr>
        <w:t>Brainin</w:t>
      </w:r>
      <w:proofErr w:type="spellEnd"/>
      <w:r>
        <w:rPr>
          <w:color w:val="000000"/>
          <w:sz w:val="24"/>
          <w:szCs w:val="24"/>
        </w:rPr>
        <w:t>, 2012) found relationships between digital health literacy and the presence of chronic illness, perceived self-management skills, and better self-perceived understanding of health status, symptoms, and optional treatments.</w:t>
      </w:r>
    </w:p>
    <w:p w14:paraId="22371FA1" w14:textId="77777777" w:rsidR="00FD1591" w:rsidRDefault="00FD1591">
      <w:pPr>
        <w:rPr>
          <w:sz w:val="24"/>
          <w:szCs w:val="24"/>
        </w:rPr>
      </w:pPr>
    </w:p>
    <w:p w14:paraId="37C53A1B" w14:textId="77777777" w:rsidR="00FD1591" w:rsidRDefault="000C74B4">
      <w:pPr>
        <w:rPr>
          <w:color w:val="000000"/>
          <w:sz w:val="24"/>
          <w:szCs w:val="24"/>
        </w:rPr>
      </w:pPr>
      <w:r>
        <w:rPr>
          <w:b/>
          <w:sz w:val="24"/>
          <w:szCs w:val="24"/>
        </w:rPr>
        <w:t xml:space="preserve">Disclaimer: </w:t>
      </w:r>
      <w:r>
        <w:rPr>
          <w:sz w:val="24"/>
          <w:szCs w:val="24"/>
        </w:rPr>
        <w:t>The references and sources of information used in the construction of the materials come, in general, from the WHO, the European Commission and specialised sources and resources in each of the countries belonging to the consortium. For more information, please refer to Module 5.</w:t>
      </w:r>
      <w:r>
        <w:br w:type="page"/>
      </w:r>
    </w:p>
    <w:p w14:paraId="2452F6C0" w14:textId="77777777" w:rsidR="00FD1591" w:rsidRDefault="000C74B4">
      <w:pPr>
        <w:pStyle w:val="1"/>
      </w:pPr>
      <w:bookmarkStart w:id="8" w:name="_Toc103249340"/>
      <w:r>
        <w:lastRenderedPageBreak/>
        <w:t>References</w:t>
      </w:r>
      <w:bookmarkEnd w:id="8"/>
    </w:p>
    <w:p w14:paraId="1DD0EE88" w14:textId="77777777" w:rsidR="00FD1591" w:rsidRDefault="000C74B4">
      <w:r>
        <w:t xml:space="preserve">European Commission (2022). ERASMUS + Programme Guide. Version 2. </w:t>
      </w:r>
    </w:p>
    <w:p w14:paraId="735B9585" w14:textId="77777777" w:rsidR="00FD1591" w:rsidRDefault="000C74B4">
      <w:r>
        <w:t xml:space="preserve">Hsu W, Chiang C, Yang S. The effect of individual factors on health </w:t>
      </w:r>
      <w:proofErr w:type="spellStart"/>
      <w:r>
        <w:t>behaviors</w:t>
      </w:r>
      <w:proofErr w:type="spellEnd"/>
      <w:r>
        <w:t xml:space="preserve"> among college students: the mediating effects of eHealth literacy. J Med Internet Res 2014;16(12</w:t>
      </w:r>
      <w:proofErr w:type="gramStart"/>
      <w:r>
        <w:t>):e</w:t>
      </w:r>
      <w:proofErr w:type="gramEnd"/>
      <w:r>
        <w:t>287 [FREE Full text] [</w:t>
      </w:r>
      <w:proofErr w:type="spellStart"/>
      <w:r>
        <w:t>doi</w:t>
      </w:r>
      <w:proofErr w:type="spellEnd"/>
      <w:r>
        <w:t>: 10.2196/jmir.3542] [Medline:25499086]</w:t>
      </w:r>
    </w:p>
    <w:p w14:paraId="1B83FF69" w14:textId="77777777" w:rsidR="00FD1591" w:rsidRDefault="000C74B4">
      <w:proofErr w:type="spellStart"/>
      <w:r>
        <w:t>Neter</w:t>
      </w:r>
      <w:proofErr w:type="spellEnd"/>
      <w:r>
        <w:t xml:space="preserve"> E, </w:t>
      </w:r>
      <w:proofErr w:type="spellStart"/>
      <w:r>
        <w:t>Brainin</w:t>
      </w:r>
      <w:proofErr w:type="spellEnd"/>
      <w:r>
        <w:t xml:space="preserve"> E. eHealth literacy: extending the digital divide to the realm of health information. J Med Internet Res 2012 Jan;14(1</w:t>
      </w:r>
      <w:proofErr w:type="gramStart"/>
      <w:r>
        <w:t>):e</w:t>
      </w:r>
      <w:proofErr w:type="gramEnd"/>
      <w:r>
        <w:t>19 [FREE Full text] [</w:t>
      </w:r>
      <w:proofErr w:type="spellStart"/>
      <w:r>
        <w:t>doi</w:t>
      </w:r>
      <w:proofErr w:type="spellEnd"/>
      <w:r>
        <w:t>: 10.2196/jmir.1619] [Medline: 22357448]</w:t>
      </w:r>
    </w:p>
    <w:p w14:paraId="31EA2ECB" w14:textId="77777777" w:rsidR="00FD1591" w:rsidRDefault="000C74B4">
      <w:r>
        <w:t xml:space="preserve">Norman, C.; Skinner, H. (2006). eHealth Literacy: Essential Skills for Consumer Health in a Networked World. </w:t>
      </w:r>
      <w:r>
        <w:rPr>
          <w:i/>
        </w:rPr>
        <w:t>J Med Internet Res</w:t>
      </w:r>
      <w:r>
        <w:t xml:space="preserve"> 8(2</w:t>
      </w:r>
      <w:proofErr w:type="gramStart"/>
      <w:r>
        <w:t>):e</w:t>
      </w:r>
      <w:proofErr w:type="gramEnd"/>
      <w:r>
        <w:t>9. DOI: 10.2196/jmir.8.</w:t>
      </w:r>
      <w:proofErr w:type="gramStart"/>
      <w:r>
        <w:t>2.e</w:t>
      </w:r>
      <w:proofErr w:type="gramEnd"/>
      <w:r>
        <w:t>9</w:t>
      </w:r>
    </w:p>
    <w:p w14:paraId="0011FED0" w14:textId="77777777" w:rsidR="00FD1591" w:rsidRDefault="000C74B4">
      <w:r>
        <w:t xml:space="preserve">Parra, J. C. T., and Vásquez, J. E. T. (2020). Use of social networks and the digital divide in the immigrant associative fabric in Spain. TERRA: </w:t>
      </w:r>
      <w:proofErr w:type="spellStart"/>
      <w:r>
        <w:t>Revista</w:t>
      </w:r>
      <w:proofErr w:type="spellEnd"/>
      <w:r>
        <w:t xml:space="preserve"> de Desarrollo Local, (7), 263- 284.</w:t>
      </w:r>
    </w:p>
    <w:p w14:paraId="4D69159A" w14:textId="77777777" w:rsidR="00FD1591" w:rsidRDefault="000C74B4">
      <w:r>
        <w:t xml:space="preserve">van der </w:t>
      </w:r>
      <w:proofErr w:type="spellStart"/>
      <w:r>
        <w:t>Vaart</w:t>
      </w:r>
      <w:proofErr w:type="spellEnd"/>
      <w:r>
        <w:t xml:space="preserve">, Rosalie &amp; </w:t>
      </w:r>
      <w:proofErr w:type="spellStart"/>
      <w:r>
        <w:t>Drossaert</w:t>
      </w:r>
      <w:proofErr w:type="spellEnd"/>
      <w:r>
        <w:t>, Constance. (2017). Development of the Digital Health Literacy Instrument: Measuring a Broad Spectrum of Health 1.0 and Health 2.0 Skills. Journal of Medical Internet Research. 19. e27. 10.2196/jmir.6709.</w:t>
      </w:r>
    </w:p>
    <w:p w14:paraId="536E9CF2" w14:textId="77777777" w:rsidR="00FD1591" w:rsidRDefault="000C74B4">
      <w:r>
        <w:t xml:space="preserve">World Health Organization [WHO]. 2017. </w:t>
      </w:r>
      <w:r>
        <w:rPr>
          <w:i/>
        </w:rPr>
        <w:t>Digital Health Literacy</w:t>
      </w:r>
      <w:r>
        <w:t>. https://www.who.int/global-coordination-mechanism/working-groups/digital_hl.pdf</w:t>
      </w:r>
    </w:p>
    <w:p w14:paraId="5587DBE2" w14:textId="77777777" w:rsidR="00FD1591" w:rsidRDefault="00FD1591">
      <w:pPr>
        <w:pBdr>
          <w:top w:val="nil"/>
          <w:left w:val="nil"/>
          <w:bottom w:val="nil"/>
          <w:right w:val="nil"/>
          <w:between w:val="nil"/>
        </w:pBdr>
        <w:rPr>
          <w:color w:val="000000"/>
          <w:sz w:val="24"/>
          <w:szCs w:val="24"/>
        </w:rPr>
      </w:pPr>
    </w:p>
    <w:p w14:paraId="580B637D" w14:textId="77777777" w:rsidR="00FD1591" w:rsidRDefault="00FD1591">
      <w:pPr>
        <w:pBdr>
          <w:top w:val="nil"/>
          <w:left w:val="nil"/>
          <w:bottom w:val="nil"/>
          <w:right w:val="nil"/>
          <w:between w:val="nil"/>
        </w:pBdr>
        <w:rPr>
          <w:color w:val="000000"/>
          <w:sz w:val="24"/>
          <w:szCs w:val="24"/>
        </w:rPr>
      </w:pPr>
    </w:p>
    <w:p w14:paraId="47F48BF3" w14:textId="77777777" w:rsidR="00FD1591" w:rsidRDefault="00FD1591">
      <w:pPr>
        <w:pBdr>
          <w:top w:val="nil"/>
          <w:left w:val="nil"/>
          <w:bottom w:val="nil"/>
          <w:right w:val="nil"/>
          <w:between w:val="nil"/>
        </w:pBdr>
        <w:ind w:left="1440"/>
        <w:rPr>
          <w:color w:val="000000"/>
          <w:sz w:val="24"/>
          <w:szCs w:val="24"/>
        </w:rPr>
      </w:pPr>
    </w:p>
    <w:p w14:paraId="0BA9C571" w14:textId="77777777" w:rsidR="00FD1591" w:rsidRDefault="00FD1591">
      <w:pPr>
        <w:pBdr>
          <w:top w:val="nil"/>
          <w:left w:val="nil"/>
          <w:bottom w:val="nil"/>
          <w:right w:val="nil"/>
          <w:between w:val="nil"/>
        </w:pBdr>
        <w:rPr>
          <w:color w:val="000000"/>
          <w:sz w:val="24"/>
          <w:szCs w:val="24"/>
        </w:rPr>
      </w:pPr>
    </w:p>
    <w:p w14:paraId="0B084391" w14:textId="77777777" w:rsidR="00FD1591" w:rsidRDefault="000C74B4">
      <w:pPr>
        <w:pBdr>
          <w:top w:val="nil"/>
          <w:left w:val="nil"/>
          <w:bottom w:val="nil"/>
          <w:right w:val="nil"/>
          <w:between w:val="nil"/>
        </w:pBdr>
        <w:rPr>
          <w:color w:val="000000"/>
          <w:sz w:val="24"/>
          <w:szCs w:val="24"/>
        </w:rPr>
      </w:pPr>
      <w:r>
        <w:rPr>
          <w:color w:val="000000"/>
          <w:sz w:val="24"/>
          <w:szCs w:val="24"/>
        </w:rPr>
        <w:t xml:space="preserve"> </w:t>
      </w:r>
    </w:p>
    <w:p w14:paraId="5714B80A" w14:textId="77777777" w:rsidR="00FD1591" w:rsidRDefault="00FD1591">
      <w:pPr>
        <w:pBdr>
          <w:top w:val="nil"/>
          <w:left w:val="nil"/>
          <w:bottom w:val="nil"/>
          <w:right w:val="nil"/>
          <w:between w:val="nil"/>
        </w:pBdr>
        <w:rPr>
          <w:color w:val="000000"/>
          <w:sz w:val="24"/>
          <w:szCs w:val="24"/>
        </w:rPr>
      </w:pPr>
    </w:p>
    <w:p w14:paraId="50E53179" w14:textId="77777777" w:rsidR="00FD1591" w:rsidRDefault="00FD1591">
      <w:pPr>
        <w:pBdr>
          <w:top w:val="nil"/>
          <w:left w:val="nil"/>
          <w:bottom w:val="nil"/>
          <w:right w:val="nil"/>
          <w:between w:val="nil"/>
        </w:pBdr>
        <w:rPr>
          <w:color w:val="000000"/>
          <w:sz w:val="24"/>
          <w:szCs w:val="24"/>
        </w:rPr>
      </w:pPr>
    </w:p>
    <w:p w14:paraId="03A7C0A2" w14:textId="77777777" w:rsidR="00FD1591" w:rsidRDefault="00FD1591">
      <w:pPr>
        <w:pBdr>
          <w:top w:val="nil"/>
          <w:left w:val="nil"/>
          <w:bottom w:val="nil"/>
          <w:right w:val="nil"/>
          <w:between w:val="nil"/>
        </w:pBdr>
        <w:rPr>
          <w:color w:val="000000"/>
          <w:sz w:val="24"/>
          <w:szCs w:val="24"/>
        </w:rPr>
      </w:pPr>
    </w:p>
    <w:p w14:paraId="5595B9E0" w14:textId="77777777" w:rsidR="00FD1591" w:rsidRDefault="00FD1591">
      <w:pPr>
        <w:pBdr>
          <w:top w:val="nil"/>
          <w:left w:val="nil"/>
          <w:bottom w:val="nil"/>
          <w:right w:val="nil"/>
          <w:between w:val="nil"/>
        </w:pBdr>
        <w:rPr>
          <w:color w:val="000000"/>
          <w:sz w:val="24"/>
          <w:szCs w:val="24"/>
        </w:rPr>
      </w:pPr>
    </w:p>
    <w:sectPr w:rsidR="00FD1591">
      <w:footerReference w:type="default" r:id="rId31"/>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A6F5C" w14:textId="77777777" w:rsidR="00673A5D" w:rsidRDefault="00673A5D">
      <w:pPr>
        <w:spacing w:after="0" w:line="240" w:lineRule="auto"/>
      </w:pPr>
      <w:r>
        <w:separator/>
      </w:r>
    </w:p>
  </w:endnote>
  <w:endnote w:type="continuationSeparator" w:id="0">
    <w:p w14:paraId="6A19D896" w14:textId="77777777" w:rsidR="00673A5D" w:rsidRDefault="00673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4ABE" w14:textId="77777777" w:rsidR="00573809" w:rsidRDefault="00573809" w:rsidP="00776DC9">
    <w:pPr>
      <w:pStyle w:val="a5"/>
    </w:pPr>
  </w:p>
  <w:p w14:paraId="07E851DD" w14:textId="77777777" w:rsidR="00573809" w:rsidRDefault="00573809"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5625" w14:textId="77777777" w:rsidR="00573809" w:rsidRPr="00573809" w:rsidRDefault="00573809" w:rsidP="00573809">
    <w:pPr>
      <w:pStyle w:val="a5"/>
      <w:jc w:val="center"/>
      <w:rPr>
        <w:sz w:val="14"/>
      </w:rPr>
    </w:pPr>
    <w:r w:rsidRPr="00573809">
      <w:rPr>
        <w:sz w:val="16"/>
        <w:szCs w:val="24"/>
      </w:rPr>
      <w:t>Contract No. 2020-1-DE02-KA204-007679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9632" w14:textId="77777777" w:rsidR="00FD1591" w:rsidRDefault="00FD1591">
    <w:pPr>
      <w:pBdr>
        <w:top w:val="nil"/>
        <w:left w:val="nil"/>
        <w:bottom w:val="nil"/>
        <w:right w:val="nil"/>
        <w:between w:val="nil"/>
      </w:pBdr>
      <w:tabs>
        <w:tab w:val="center" w:pos="4536"/>
        <w:tab w:val="right" w:pos="9072"/>
      </w:tabs>
      <w:spacing w:after="0" w:line="240" w:lineRule="auto"/>
      <w:rPr>
        <w:color w:val="000000"/>
      </w:rPr>
    </w:pPr>
  </w:p>
  <w:p w14:paraId="2EB20775" w14:textId="77777777" w:rsidR="00FD1591" w:rsidRDefault="00FD1591">
    <w:pPr>
      <w:pBdr>
        <w:top w:val="nil"/>
        <w:left w:val="nil"/>
        <w:bottom w:val="nil"/>
        <w:right w:val="nil"/>
        <w:between w:val="nil"/>
      </w:pBdr>
      <w:tabs>
        <w:tab w:val="center" w:pos="4536"/>
        <w:tab w:val="right" w:pos="9072"/>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000577"/>
      <w:docPartObj>
        <w:docPartGallery w:val="Page Numbers (Bottom of Page)"/>
        <w:docPartUnique/>
      </w:docPartObj>
    </w:sdtPr>
    <w:sdtEndPr/>
    <w:sdtContent>
      <w:p w14:paraId="47BF305E" w14:textId="77777777" w:rsidR="00573809" w:rsidRDefault="00573809">
        <w:pPr>
          <w:pStyle w:val="a5"/>
          <w:jc w:val="right"/>
        </w:pPr>
        <w:r>
          <w:fldChar w:fldCharType="begin"/>
        </w:r>
        <w:r>
          <w:instrText>PAGE   \* MERGEFORMAT</w:instrText>
        </w:r>
        <w:r>
          <w:fldChar w:fldCharType="separate"/>
        </w:r>
        <w:r w:rsidR="000C74B4" w:rsidRPr="000C74B4">
          <w:rPr>
            <w:noProof/>
            <w:lang w:val="de-DE"/>
          </w:rPr>
          <w:t>3</w:t>
        </w:r>
        <w:r>
          <w:fldChar w:fldCharType="end"/>
        </w:r>
      </w:p>
    </w:sdtContent>
  </w:sdt>
  <w:p w14:paraId="0CAF617D" w14:textId="77777777" w:rsidR="00573809" w:rsidRDefault="0057380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1DD8B" w14:textId="77777777" w:rsidR="00673A5D" w:rsidRDefault="00673A5D">
      <w:pPr>
        <w:spacing w:after="0" w:line="240" w:lineRule="auto"/>
      </w:pPr>
      <w:r>
        <w:separator/>
      </w:r>
    </w:p>
  </w:footnote>
  <w:footnote w:type="continuationSeparator" w:id="0">
    <w:p w14:paraId="711E2657" w14:textId="77777777" w:rsidR="00673A5D" w:rsidRDefault="00673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8C59" w14:textId="77777777" w:rsidR="00573809" w:rsidRDefault="00573809">
    <w:pPr>
      <w:pStyle w:val="a4"/>
    </w:pPr>
  </w:p>
  <w:p w14:paraId="128EE643" w14:textId="77777777" w:rsidR="00573809" w:rsidRPr="00A335EA" w:rsidRDefault="00573809"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0AD2" w14:textId="77777777" w:rsidR="00573809" w:rsidRDefault="00573809" w:rsidP="00776DC9">
    <w:pPr>
      <w:pStyle w:val="a4"/>
    </w:pPr>
    <w:r>
      <w:tab/>
    </w:r>
    <w:r>
      <w:tab/>
      <w:t xml:space="preserve">   </w:t>
    </w:r>
    <w:r>
      <w:tab/>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CDB6" w14:textId="77777777" w:rsidR="00FD1591" w:rsidRDefault="000C74B4">
    <w:pPr>
      <w:ind w:left="-284"/>
    </w:pPr>
    <w:r>
      <w:rPr>
        <w:noProof/>
        <w:lang w:val="de-DE"/>
      </w:rPr>
      <w:drawing>
        <wp:inline distT="0" distB="0" distL="0" distR="0" wp14:anchorId="24FA3D7C" wp14:editId="2F157D36">
          <wp:extent cx="2614930" cy="745808"/>
          <wp:effectExtent l="0" t="0" r="0" b="0"/>
          <wp:docPr id="9" name="image2.png" descr="Logo EU Erasmus+"/>
          <wp:cNvGraphicFramePr/>
          <a:graphic xmlns:a="http://schemas.openxmlformats.org/drawingml/2006/main">
            <a:graphicData uri="http://schemas.openxmlformats.org/drawingml/2006/picture">
              <pic:pic xmlns:pic="http://schemas.openxmlformats.org/drawingml/2006/picture">
                <pic:nvPicPr>
                  <pic:cNvPr id="0" name="image2.png" descr="Logo EU Erasmus+"/>
                  <pic:cNvPicPr preferRelativeResize="0"/>
                </pic:nvPicPr>
                <pic:blipFill>
                  <a:blip r:embed="rId1"/>
                  <a:srcRect/>
                  <a:stretch>
                    <a:fillRect/>
                  </a:stretch>
                </pic:blipFill>
                <pic:spPr>
                  <a:xfrm>
                    <a:off x="0" y="0"/>
                    <a:ext cx="2614930" cy="745808"/>
                  </a:xfrm>
                  <a:prstGeom prst="rect">
                    <a:avLst/>
                  </a:prstGeom>
                  <a:ln/>
                </pic:spPr>
              </pic:pic>
            </a:graphicData>
          </a:graphic>
        </wp:inline>
      </w:drawing>
    </w:r>
    <w:r>
      <w:t xml:space="preserve">                                       </w:t>
    </w:r>
    <w:r w:rsidR="00573809">
      <w:rPr>
        <w:noProof/>
        <w:lang w:val="de-DE"/>
      </w:rPr>
      <w:drawing>
        <wp:inline distT="0" distB="0" distL="0" distR="0" wp14:anchorId="66715F2D" wp14:editId="265D2408">
          <wp:extent cx="1924050" cy="552450"/>
          <wp:effectExtent l="0" t="0" r="0" b="0"/>
          <wp:docPr id="4" name="Grafik 4"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65262E"/>
    <w:multiLevelType w:val="multilevel"/>
    <w:tmpl w:val="EABCB6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84256231">
    <w:abstractNumId w:val="1"/>
  </w:num>
  <w:num w:numId="2" w16cid:durableId="141874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591"/>
    <w:rsid w:val="000C74B4"/>
    <w:rsid w:val="00573809"/>
    <w:rsid w:val="00673216"/>
    <w:rsid w:val="00673A5D"/>
    <w:rsid w:val="00874097"/>
    <w:rsid w:val="00FD15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D9"/>
  <w15:docId w15:val="{C67F7F7C-6A30-4BCA-A273-A0D2A62D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de-DE"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7C4"/>
  </w:style>
  <w:style w:type="paragraph" w:styleId="1">
    <w:name w:val="heading 1"/>
    <w:aliases w:val="Heading 1"/>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table" w:customStyle="1" w:styleId="TableNormal1">
    <w:name w:val="Table Normal1"/>
    <w:tblPr>
      <w:tblCellMar>
        <w:top w:w="0" w:type="dxa"/>
        <w:left w:w="0" w:type="dxa"/>
        <w:bottom w:w="0" w:type="dxa"/>
        <w:right w:w="0" w:type="dxa"/>
      </w:tblCellMar>
    </w:tblPr>
  </w:style>
  <w:style w:type="character" w:customStyle="1" w:styleId="1Char">
    <w:name w:val="Επικεφαλίδα 1 Char"/>
    <w:aliases w:val="Heading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6B5612"/>
    <w:pPr>
      <w:spacing w:before="100" w:beforeAutospacing="1" w:after="100" w:afterAutospacing="1" w:line="240" w:lineRule="auto"/>
      <w:jc w:val="left"/>
    </w:pPr>
    <w:rPr>
      <w:rFonts w:ascii="Times New Roman" w:eastAsia="Times New Roman" w:hAnsi="Times New Roman" w:cs="Times New Roman"/>
      <w:sz w:val="24"/>
      <w:szCs w:val="24"/>
      <w:lang w:val="de-DE"/>
    </w:rPr>
  </w:style>
  <w:style w:type="character" w:styleId="-">
    <w:name w:val="Hyperlink"/>
    <w:basedOn w:val="a0"/>
    <w:uiPriority w:val="99"/>
    <w:unhideWhenUsed/>
    <w:rsid w:val="004F1D76"/>
    <w:rPr>
      <w:color w:val="0563C1" w:themeColor="hyperlink"/>
      <w:u w:val="single"/>
    </w:rPr>
  </w:style>
  <w:style w:type="paragraph" w:styleId="a8">
    <w:name w:val="TOC Heading"/>
    <w:basedOn w:val="1"/>
    <w:next w:val="a"/>
    <w:uiPriority w:val="39"/>
    <w:unhideWhenUsed/>
    <w:qFormat/>
    <w:rsid w:val="00A42903"/>
    <w:pPr>
      <w:spacing w:line="259" w:lineRule="auto"/>
      <w:jc w:val="left"/>
      <w:outlineLvl w:val="9"/>
    </w:pPr>
    <w:rPr>
      <w:rFonts w:asciiTheme="majorHAnsi" w:hAnsiTheme="majorHAnsi"/>
      <w:b w:val="0"/>
      <w:color w:val="2F5496" w:themeColor="accent1" w:themeShade="BF"/>
      <w:sz w:val="32"/>
      <w:lang w:val="de-DE"/>
    </w:rPr>
  </w:style>
  <w:style w:type="paragraph" w:styleId="10">
    <w:name w:val="toc 1"/>
    <w:basedOn w:val="a"/>
    <w:next w:val="a"/>
    <w:autoRedefine/>
    <w:uiPriority w:val="39"/>
    <w:unhideWhenUsed/>
    <w:rsid w:val="00A42903"/>
    <w:pPr>
      <w:spacing w:after="100"/>
    </w:pPr>
  </w:style>
  <w:style w:type="paragraph" w:styleId="20">
    <w:name w:val="toc 2"/>
    <w:basedOn w:val="a"/>
    <w:next w:val="a"/>
    <w:autoRedefine/>
    <w:uiPriority w:val="39"/>
    <w:unhideWhenUsed/>
    <w:rsid w:val="00A42903"/>
    <w:pPr>
      <w:spacing w:after="100"/>
      <w:ind w:left="220"/>
    </w:pPr>
  </w:style>
  <w:style w:type="character" w:customStyle="1" w:styleId="tooltip">
    <w:name w:val="tooltip"/>
    <w:basedOn w:val="a0"/>
    <w:rsid w:val="00CA0641"/>
  </w:style>
  <w:style w:type="paragraph" w:styleId="a9">
    <w:name w:val="caption"/>
    <w:basedOn w:val="a"/>
    <w:next w:val="a"/>
    <w:uiPriority w:val="35"/>
    <w:unhideWhenUsed/>
    <w:qFormat/>
    <w:rsid w:val="003B3256"/>
    <w:pPr>
      <w:spacing w:after="200" w:line="240" w:lineRule="auto"/>
    </w:pPr>
    <w:rPr>
      <w:i/>
      <w:iCs/>
      <w:color w:val="44546A" w:themeColor="text2"/>
      <w:sz w:val="18"/>
      <w:szCs w:val="18"/>
    </w:rPr>
  </w:style>
  <w:style w:type="character" w:styleId="aa">
    <w:name w:val="annotation reference"/>
    <w:basedOn w:val="a0"/>
    <w:uiPriority w:val="99"/>
    <w:semiHidden/>
    <w:unhideWhenUsed/>
    <w:rsid w:val="0034690B"/>
    <w:rPr>
      <w:sz w:val="16"/>
      <w:szCs w:val="16"/>
    </w:rPr>
  </w:style>
  <w:style w:type="paragraph" w:styleId="ab">
    <w:name w:val="annotation text"/>
    <w:basedOn w:val="a"/>
    <w:link w:val="Char3"/>
    <w:uiPriority w:val="99"/>
    <w:semiHidden/>
    <w:unhideWhenUsed/>
    <w:rsid w:val="0034690B"/>
    <w:pPr>
      <w:spacing w:line="240" w:lineRule="auto"/>
    </w:pPr>
    <w:rPr>
      <w:sz w:val="20"/>
      <w:szCs w:val="20"/>
    </w:rPr>
  </w:style>
  <w:style w:type="character" w:customStyle="1" w:styleId="Char3">
    <w:name w:val="Κείμενο σχολίου Char"/>
    <w:basedOn w:val="a0"/>
    <w:link w:val="ab"/>
    <w:uiPriority w:val="99"/>
    <w:semiHidden/>
    <w:rsid w:val="0034690B"/>
    <w:rPr>
      <w:sz w:val="20"/>
      <w:szCs w:val="20"/>
    </w:rPr>
  </w:style>
  <w:style w:type="paragraph" w:styleId="ac">
    <w:name w:val="annotation subject"/>
    <w:basedOn w:val="ab"/>
    <w:next w:val="ab"/>
    <w:link w:val="Char4"/>
    <w:uiPriority w:val="99"/>
    <w:semiHidden/>
    <w:unhideWhenUsed/>
    <w:rsid w:val="0034690B"/>
    <w:rPr>
      <w:b/>
      <w:bCs/>
    </w:rPr>
  </w:style>
  <w:style w:type="character" w:customStyle="1" w:styleId="Char4">
    <w:name w:val="Θέμα σχολίου Char"/>
    <w:basedOn w:val="Char3"/>
    <w:link w:val="ac"/>
    <w:uiPriority w:val="99"/>
    <w:semiHidden/>
    <w:rsid w:val="0034690B"/>
    <w:rPr>
      <w:b/>
      <w:bCs/>
      <w:sz w:val="20"/>
      <w:szCs w:val="20"/>
    </w:rPr>
  </w:style>
  <w:style w:type="paragraph" w:styleId="ad">
    <w:name w:val="Balloon Text"/>
    <w:basedOn w:val="a"/>
    <w:link w:val="Char5"/>
    <w:uiPriority w:val="99"/>
    <w:semiHidden/>
    <w:unhideWhenUsed/>
    <w:rsid w:val="0034690B"/>
    <w:pPr>
      <w:spacing w:after="0" w:line="240" w:lineRule="auto"/>
    </w:pPr>
    <w:rPr>
      <w:rFonts w:ascii="Segoe UI" w:hAnsi="Segoe UI" w:cs="Segoe UI"/>
      <w:sz w:val="18"/>
      <w:szCs w:val="18"/>
    </w:rPr>
  </w:style>
  <w:style w:type="character" w:customStyle="1" w:styleId="Char5">
    <w:name w:val="Κείμενο πλαισίου Char"/>
    <w:basedOn w:val="a0"/>
    <w:link w:val="ad"/>
    <w:uiPriority w:val="99"/>
    <w:semiHidden/>
    <w:rsid w:val="0034690B"/>
    <w:rPr>
      <w:rFonts w:ascii="Segoe UI" w:hAnsi="Segoe UI" w:cs="Segoe UI"/>
      <w:sz w:val="18"/>
      <w:szCs w:val="18"/>
    </w:rPr>
  </w:style>
  <w:style w:type="character" w:customStyle="1" w:styleId="Char2">
    <w:name w:val="Παράγραφος λίστας Char"/>
    <w:basedOn w:val="a0"/>
    <w:link w:val="a6"/>
    <w:uiPriority w:val="34"/>
    <w:rsid w:val="00573809"/>
  </w:style>
  <w:style w:type="table" w:styleId="ae">
    <w:name w:val="Table Grid"/>
    <w:basedOn w:val="a1"/>
    <w:uiPriority w:val="39"/>
    <w:rsid w:val="00573809"/>
    <w:pPr>
      <w:spacing w:after="0" w:line="240" w:lineRule="auto"/>
      <w:jc w:val="left"/>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Char6"/>
    <w:uiPriority w:val="99"/>
    <w:unhideWhenUsed/>
    <w:rsid w:val="00573809"/>
    <w:pPr>
      <w:spacing w:before="100" w:beforeAutospacing="1" w:after="100" w:afterAutospacing="1" w:line="312" w:lineRule="auto"/>
    </w:pPr>
    <w:rPr>
      <w:rFonts w:eastAsiaTheme="minorHAnsi" w:cs="Consolas"/>
      <w:bCs/>
      <w:szCs w:val="21"/>
      <w:lang w:eastAsia="en-US"/>
    </w:rPr>
  </w:style>
  <w:style w:type="character" w:customStyle="1" w:styleId="Char6">
    <w:name w:val="Απλό κείμενο Char"/>
    <w:basedOn w:val="a0"/>
    <w:link w:val="af"/>
    <w:uiPriority w:val="99"/>
    <w:rsid w:val="00573809"/>
    <w:rPr>
      <w:rFonts w:eastAsiaTheme="minorHAnsi" w:cs="Consolas"/>
      <w:bCs/>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7.jpeg"/><Relationship Id="rId26" Type="http://schemas.openxmlformats.org/officeDocument/2006/relationships/hyperlink" Target="https://mig-dhl.eu/" TargetMode="Externa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8.jpe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image" Target="media/image11.png"/><Relationship Id="rId30" Type="http://schemas.openxmlformats.org/officeDocument/2006/relationships/image" Target="media/image14.png"/></Relationships>
</file>

<file path=word/_rels/head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yAbhTl7vS++hg0cF57Txn4e+pg==">AMUW2mXg/XkYNXh1zVUrJJugRLPlQtyC1jNzHQQXQ/UKhEDYLHtU7VeSh0IjCJXMWJG8QCWYMYJ+JXoxWqGhrznqbmwFkXN0bCbzxbyEXat2SDsRaKA2Rv+cOi06/8Q2oNEg7b9rnwTI1VQf+xBhja80IiQdlmV5dQ1uu0Dl2GYkUQI0fzwuDqVuHXwytS3CUXb8S7g2akRLwZpIOvsP5Tuir97DkNa3tQ==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750868-3428-4BC1-BB24-974350C5FCBD}">
  <ds:schemaRefs>
    <ds:schemaRef ds:uri="http://schemas.openxmlformats.org/officeDocument/2006/bibliography"/>
  </ds:schemaRefs>
</ds:datastoreItem>
</file>

<file path=customXml/itemProps3.xml><?xml version="1.0" encoding="utf-8"?>
<ds:datastoreItem xmlns:ds="http://schemas.openxmlformats.org/officeDocument/2006/customXml" ds:itemID="{CD72B720-898A-4398-A2CD-22BF655762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63DB1E-AE2C-47B3-81D1-8D981BC3F7B2}">
  <ds:schemaRefs>
    <ds:schemaRef ds:uri="http://schemas.microsoft.com/sharepoint/v3/contenttype/forms"/>
  </ds:schemaRefs>
</ds:datastoreItem>
</file>

<file path=customXml/itemProps5.xml><?xml version="1.0" encoding="utf-8"?>
<ds:datastoreItem xmlns:ds="http://schemas.openxmlformats.org/officeDocument/2006/customXml" ds:itemID="{131300C8-76D6-475D-8B75-1B068A97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2424</Words>
  <Characters>13092</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lastModifiedBy>pantelis balaouras</cp:lastModifiedBy>
  <cp:revision>3</cp:revision>
  <cp:lastPrinted>2022-05-13T06:59:00Z</cp:lastPrinted>
  <dcterms:created xsi:type="dcterms:W3CDTF">2022-05-12T10:03:00Z</dcterms:created>
  <dcterms:modified xsi:type="dcterms:W3CDTF">2022-05-13T06:59:00Z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