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C7BD" w14:textId="77777777" w:rsidR="00AB4DA4" w:rsidRDefault="00AB4DA4" w:rsidP="00AB4DA4">
      <w:pPr>
        <w:widowControl w:val="0"/>
        <w:pBdr>
          <w:top w:val="nil"/>
          <w:left w:val="nil"/>
          <w:bottom w:val="nil"/>
          <w:right w:val="nil"/>
          <w:between w:val="nil"/>
        </w:pBdr>
        <w:spacing w:after="0" w:line="276" w:lineRule="auto"/>
      </w:pPr>
    </w:p>
    <w:p w14:paraId="6980661D" w14:textId="77777777" w:rsidR="00AB4DA4" w:rsidRDefault="00AB4DA4" w:rsidP="000B004E">
      <w:pPr>
        <w:pStyle w:val="1"/>
        <w:jc w:val="both"/>
      </w:pPr>
      <w:bookmarkStart w:id="1" w:name="_heading=h.edwz8u9iu70f" w:colFirst="0" w:colLast="0"/>
      <w:bookmarkEnd w:id="1"/>
    </w:p>
    <w:p w14:paraId="7DDA64A3" w14:textId="77777777" w:rsidR="00AB4DA4" w:rsidRDefault="00AB4DA4" w:rsidP="000B004E">
      <w:pPr>
        <w:spacing w:line="360" w:lineRule="auto"/>
        <w:rPr>
          <w:sz w:val="24"/>
          <w:szCs w:val="24"/>
        </w:rPr>
      </w:pPr>
      <w:r>
        <w:rPr>
          <w:noProof/>
          <w:sz w:val="24"/>
          <w:szCs w:val="24"/>
          <w:lang w:eastAsia="el-GR" w:bidi="ar-SA"/>
        </w:rPr>
        <w:drawing>
          <wp:inline distT="0" distB="0" distL="0" distR="0" wp14:anchorId="4E1AD593" wp14:editId="768055B8">
            <wp:extent cx="5731510" cy="151638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731510" cy="1516380"/>
                    </a:xfrm>
                    <a:prstGeom prst="rect">
                      <a:avLst/>
                    </a:prstGeom>
                    <a:ln/>
                  </pic:spPr>
                </pic:pic>
              </a:graphicData>
            </a:graphic>
          </wp:inline>
        </w:drawing>
      </w:r>
    </w:p>
    <w:p w14:paraId="3E53B5F4" w14:textId="3241FD91" w:rsidR="00AB4DA4" w:rsidRPr="008A1378" w:rsidRDefault="008A1378" w:rsidP="000B004E">
      <w:pPr>
        <w:spacing w:line="360" w:lineRule="auto"/>
        <w:jc w:val="center"/>
        <w:rPr>
          <w:b/>
          <w:color w:val="C00000"/>
          <w:sz w:val="96"/>
          <w:szCs w:val="96"/>
        </w:rPr>
      </w:pPr>
      <w:r>
        <w:rPr>
          <w:b/>
          <w:color w:val="C00000"/>
          <w:sz w:val="96"/>
          <w:szCs w:val="96"/>
        </w:rPr>
        <w:t>Εγχειρίδιο</w:t>
      </w:r>
    </w:p>
    <w:p w14:paraId="2C782B7B" w14:textId="25F95FF5" w:rsidR="00AB4DA4" w:rsidRPr="008A1378" w:rsidRDefault="008A1378" w:rsidP="000B004E">
      <w:pPr>
        <w:spacing w:line="360" w:lineRule="auto"/>
        <w:jc w:val="center"/>
        <w:rPr>
          <w:b/>
          <w:color w:val="C00000"/>
          <w:sz w:val="32"/>
          <w:szCs w:val="32"/>
        </w:rPr>
      </w:pPr>
      <w:r>
        <w:rPr>
          <w:b/>
          <w:color w:val="C00000"/>
          <w:sz w:val="40"/>
          <w:szCs w:val="40"/>
        </w:rPr>
        <w:t>Θεματική Ενότητα</w:t>
      </w:r>
      <w:r w:rsidR="00AB4DA4" w:rsidRPr="008A1378">
        <w:rPr>
          <w:b/>
          <w:color w:val="C00000"/>
          <w:sz w:val="40"/>
          <w:szCs w:val="40"/>
        </w:rPr>
        <w:t xml:space="preserve"> 2</w:t>
      </w:r>
      <w:r w:rsidR="00AB4DA4" w:rsidRPr="008A1378">
        <w:rPr>
          <w:b/>
          <w:sz w:val="40"/>
          <w:szCs w:val="40"/>
        </w:rPr>
        <w:br/>
      </w:r>
      <w:r w:rsidRPr="008A1378">
        <w:rPr>
          <w:sz w:val="40"/>
          <w:szCs w:val="40"/>
        </w:rPr>
        <w:t>Κύρια προβλήματα υγείας κατά την άφιξη σε μια νέα χώρα</w:t>
      </w:r>
    </w:p>
    <w:p w14:paraId="1928DF5C" w14:textId="1E061A8F" w:rsidR="00AB4DA4" w:rsidRPr="008A1378" w:rsidRDefault="008A1378" w:rsidP="000B004E">
      <w:pPr>
        <w:spacing w:line="360" w:lineRule="auto"/>
        <w:rPr>
          <w:sz w:val="28"/>
          <w:szCs w:val="28"/>
        </w:rPr>
      </w:pPr>
      <w:r>
        <w:rPr>
          <w:b/>
          <w:color w:val="C00000"/>
          <w:sz w:val="32"/>
          <w:szCs w:val="32"/>
        </w:rPr>
        <w:t>Συγγραφείς</w:t>
      </w:r>
      <w:r w:rsidR="00AB4DA4" w:rsidRPr="008A1378">
        <w:rPr>
          <w:b/>
          <w:color w:val="C00000"/>
          <w:sz w:val="32"/>
          <w:szCs w:val="32"/>
        </w:rPr>
        <w:t>:</w:t>
      </w:r>
      <w:r w:rsidR="00AB4DA4" w:rsidRPr="008A1378">
        <w:rPr>
          <w:b/>
          <w:color w:val="C00000"/>
          <w:sz w:val="32"/>
          <w:szCs w:val="32"/>
        </w:rPr>
        <w:br/>
      </w:r>
      <w:r w:rsidR="00AB4DA4" w:rsidRPr="00AB4DA4">
        <w:rPr>
          <w:sz w:val="28"/>
          <w:szCs w:val="28"/>
          <w:lang w:val="en-US"/>
        </w:rPr>
        <w:t>Karin</w:t>
      </w:r>
      <w:r w:rsidR="00AB4DA4" w:rsidRPr="008A1378">
        <w:rPr>
          <w:sz w:val="28"/>
          <w:szCs w:val="28"/>
        </w:rPr>
        <w:t xml:space="preserve"> </w:t>
      </w:r>
      <w:proofErr w:type="spellStart"/>
      <w:r w:rsidR="00AB4DA4" w:rsidRPr="00AB4DA4">
        <w:rPr>
          <w:sz w:val="28"/>
          <w:szCs w:val="28"/>
          <w:lang w:val="en-US"/>
        </w:rPr>
        <w:t>Drda</w:t>
      </w:r>
      <w:proofErr w:type="spellEnd"/>
      <w:r w:rsidR="00AB4DA4" w:rsidRPr="008A1378">
        <w:rPr>
          <w:sz w:val="28"/>
          <w:szCs w:val="28"/>
        </w:rPr>
        <w:t>-</w:t>
      </w:r>
      <w:r w:rsidR="00AB4DA4" w:rsidRPr="00AB4DA4">
        <w:rPr>
          <w:sz w:val="28"/>
          <w:szCs w:val="28"/>
          <w:lang w:val="en-US"/>
        </w:rPr>
        <w:t>K</w:t>
      </w:r>
      <w:r w:rsidR="00AB4DA4" w:rsidRPr="008A1378">
        <w:rPr>
          <w:sz w:val="28"/>
          <w:szCs w:val="28"/>
        </w:rPr>
        <w:t>ü</w:t>
      </w:r>
      <w:proofErr w:type="spellStart"/>
      <w:r w:rsidR="00AB4DA4" w:rsidRPr="00AB4DA4">
        <w:rPr>
          <w:sz w:val="28"/>
          <w:szCs w:val="28"/>
          <w:lang w:val="en-US"/>
        </w:rPr>
        <w:t>hn</w:t>
      </w:r>
      <w:proofErr w:type="spellEnd"/>
      <w:r w:rsidR="00AB4DA4" w:rsidRPr="008A1378">
        <w:rPr>
          <w:sz w:val="28"/>
          <w:szCs w:val="28"/>
        </w:rPr>
        <w:t xml:space="preserve">, </w:t>
      </w:r>
      <w:proofErr w:type="spellStart"/>
      <w:r w:rsidR="00AB4DA4" w:rsidRPr="00AB4DA4">
        <w:rPr>
          <w:sz w:val="28"/>
          <w:szCs w:val="28"/>
          <w:lang w:val="en-US"/>
        </w:rPr>
        <w:t>MediaK</w:t>
      </w:r>
      <w:proofErr w:type="spellEnd"/>
      <w:r w:rsidR="00AB4DA4" w:rsidRPr="008A1378">
        <w:rPr>
          <w:sz w:val="28"/>
          <w:szCs w:val="28"/>
        </w:rPr>
        <w:t xml:space="preserve">; </w:t>
      </w:r>
      <w:r>
        <w:rPr>
          <w:sz w:val="28"/>
          <w:szCs w:val="28"/>
          <w:lang w:val="en-US"/>
        </w:rPr>
        <w:t>Nikole</w:t>
      </w:r>
      <w:r w:rsidRPr="008A1378">
        <w:rPr>
          <w:sz w:val="28"/>
          <w:szCs w:val="28"/>
        </w:rPr>
        <w:t xml:space="preserve"> </w:t>
      </w:r>
      <w:proofErr w:type="spellStart"/>
      <w:r>
        <w:rPr>
          <w:sz w:val="28"/>
          <w:szCs w:val="28"/>
          <w:lang w:val="en-US"/>
        </w:rPr>
        <w:t>Papaevgeniou</w:t>
      </w:r>
      <w:proofErr w:type="spellEnd"/>
      <w:r w:rsidR="00AB4DA4" w:rsidRPr="008A1378">
        <w:rPr>
          <w:sz w:val="28"/>
          <w:szCs w:val="28"/>
        </w:rPr>
        <w:t xml:space="preserve">, </w:t>
      </w:r>
      <w:r w:rsidR="00AB4DA4" w:rsidRPr="00AB4DA4">
        <w:rPr>
          <w:sz w:val="28"/>
          <w:szCs w:val="28"/>
          <w:lang w:val="en-US"/>
        </w:rPr>
        <w:t>Prolepsis</w:t>
      </w:r>
    </w:p>
    <w:p w14:paraId="500D7F73" w14:textId="77777777" w:rsidR="00AB4DA4" w:rsidRPr="008A1378" w:rsidRDefault="00AB4DA4" w:rsidP="00AB4DA4">
      <w:pPr>
        <w:rPr>
          <w:sz w:val="16"/>
          <w:szCs w:val="16"/>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AB4DA4" w14:paraId="299DB890" w14:textId="77777777" w:rsidTr="008A1378">
        <w:trPr>
          <w:jc w:val="center"/>
        </w:trPr>
        <w:tc>
          <w:tcPr>
            <w:tcW w:w="2028" w:type="dxa"/>
            <w:gridSpan w:val="2"/>
          </w:tcPr>
          <w:p w14:paraId="30DF2D01" w14:textId="77777777" w:rsidR="00AB4DA4" w:rsidRDefault="00AB4DA4" w:rsidP="00315DD0">
            <w:pPr>
              <w:rPr>
                <w:sz w:val="16"/>
                <w:szCs w:val="16"/>
              </w:rPr>
            </w:pPr>
            <w:r>
              <w:rPr>
                <w:noProof/>
                <w:sz w:val="16"/>
                <w:szCs w:val="16"/>
                <w:lang w:eastAsia="el-GR" w:bidi="ar-SA"/>
              </w:rPr>
              <w:drawing>
                <wp:inline distT="0" distB="0" distL="0" distR="0" wp14:anchorId="34657492" wp14:editId="3335E147">
                  <wp:extent cx="1125908" cy="634403"/>
                  <wp:effectExtent l="0" t="0" r="0" b="0"/>
                  <wp:docPr id="21" name="image9.jpg" descr="Εικόνα που περιέχει κείμενο, clipart, υπογραφ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1" name="image9.jpg" descr="Εικόνα που περιέχει κείμενο, clipart, υπογραφή&#10;&#10;Περιγραφή που δημιουργήθηκε αυτόματα"/>
                          <pic:cNvPicPr preferRelativeResize="0"/>
                        </pic:nvPicPr>
                        <pic:blipFill>
                          <a:blip r:embed="rId9"/>
                          <a:srcRect b="18123"/>
                          <a:stretch>
                            <a:fillRect/>
                          </a:stretch>
                        </pic:blipFill>
                        <pic:spPr>
                          <a:xfrm>
                            <a:off x="0" y="0"/>
                            <a:ext cx="1125908" cy="634403"/>
                          </a:xfrm>
                          <a:prstGeom prst="rect">
                            <a:avLst/>
                          </a:prstGeom>
                          <a:ln/>
                        </pic:spPr>
                      </pic:pic>
                    </a:graphicData>
                  </a:graphic>
                </wp:inline>
              </w:drawing>
            </w:r>
          </w:p>
        </w:tc>
        <w:tc>
          <w:tcPr>
            <w:tcW w:w="1026" w:type="dxa"/>
          </w:tcPr>
          <w:p w14:paraId="7CCE4B1D" w14:textId="77777777" w:rsidR="00AB4DA4" w:rsidRDefault="00AB4DA4" w:rsidP="00315DD0">
            <w:pPr>
              <w:rPr>
                <w:sz w:val="16"/>
                <w:szCs w:val="16"/>
              </w:rPr>
            </w:pPr>
            <w:r>
              <w:rPr>
                <w:noProof/>
                <w:lang w:eastAsia="el-GR" w:bidi="ar-SA"/>
              </w:rPr>
              <w:drawing>
                <wp:anchor distT="0" distB="0" distL="114300" distR="114300" simplePos="0" relativeHeight="251659264" behindDoc="0" locked="0" layoutInCell="1" hidden="0" allowOverlap="1" wp14:anchorId="35102B46" wp14:editId="4858E509">
                  <wp:simplePos x="0" y="0"/>
                  <wp:positionH relativeFrom="column">
                    <wp:posOffset>33656</wp:posOffset>
                  </wp:positionH>
                  <wp:positionV relativeFrom="paragraph">
                    <wp:posOffset>-230956</wp:posOffset>
                  </wp:positionV>
                  <wp:extent cx="688063" cy="895980"/>
                  <wp:effectExtent l="0" t="0" r="0" b="0"/>
                  <wp:wrapNone/>
                  <wp:docPr id="22" name="image5.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2" name="image5.jpg" descr="Εικόνα που περιέχει κείμενο&#10;&#10;Περιγραφή που δημιουργήθηκε αυτόματα"/>
                          <pic:cNvPicPr preferRelativeResize="0"/>
                        </pic:nvPicPr>
                        <pic:blipFill>
                          <a:blip r:embed="rId10"/>
                          <a:srcRect l="17249" t="9421" r="16570" b="12063"/>
                          <a:stretch>
                            <a:fillRect/>
                          </a:stretch>
                        </pic:blipFill>
                        <pic:spPr>
                          <a:xfrm>
                            <a:off x="0" y="0"/>
                            <a:ext cx="688063" cy="895980"/>
                          </a:xfrm>
                          <a:prstGeom prst="rect">
                            <a:avLst/>
                          </a:prstGeom>
                          <a:ln/>
                        </pic:spPr>
                      </pic:pic>
                    </a:graphicData>
                  </a:graphic>
                </wp:anchor>
              </w:drawing>
            </w:r>
          </w:p>
        </w:tc>
        <w:tc>
          <w:tcPr>
            <w:tcW w:w="2604" w:type="dxa"/>
            <w:gridSpan w:val="2"/>
          </w:tcPr>
          <w:p w14:paraId="112489E1" w14:textId="77777777" w:rsidR="00AB4DA4" w:rsidRDefault="00AB4DA4" w:rsidP="00315DD0">
            <w:pPr>
              <w:rPr>
                <w:sz w:val="16"/>
                <w:szCs w:val="16"/>
              </w:rPr>
            </w:pPr>
            <w:r>
              <w:rPr>
                <w:noProof/>
                <w:lang w:eastAsia="el-GR" w:bidi="ar-SA"/>
              </w:rPr>
              <w:drawing>
                <wp:anchor distT="0" distB="0" distL="114300" distR="114300" simplePos="0" relativeHeight="251660288" behindDoc="0" locked="0" layoutInCell="1" hidden="0" allowOverlap="1" wp14:anchorId="1557647C" wp14:editId="54B6B732">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14" name="image6.jpg" descr="Εικόνα που περιέχει κείμενο, λευκός πίνακα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4" name="image6.jpg" descr="Εικόνα που περιέχει κείμενο, λευκός πίνακας&#10;&#10;Περιγραφή που δημιουργήθηκε αυτόματα"/>
                          <pic:cNvPicPr preferRelativeResize="0"/>
                        </pic:nvPicPr>
                        <pic:blipFill>
                          <a:blip r:embed="rId11"/>
                          <a:srcRect b="22683"/>
                          <a:stretch>
                            <a:fillRect/>
                          </a:stretch>
                        </pic:blipFill>
                        <pic:spPr>
                          <a:xfrm>
                            <a:off x="0" y="0"/>
                            <a:ext cx="1534538" cy="484360"/>
                          </a:xfrm>
                          <a:prstGeom prst="rect">
                            <a:avLst/>
                          </a:prstGeom>
                          <a:ln/>
                        </pic:spPr>
                      </pic:pic>
                    </a:graphicData>
                  </a:graphic>
                </wp:anchor>
              </w:drawing>
            </w:r>
          </w:p>
        </w:tc>
        <w:tc>
          <w:tcPr>
            <w:tcW w:w="1847" w:type="dxa"/>
          </w:tcPr>
          <w:p w14:paraId="41CA3768" w14:textId="77777777" w:rsidR="00AB4DA4" w:rsidRDefault="00AB4DA4" w:rsidP="00315DD0">
            <w:pPr>
              <w:rPr>
                <w:sz w:val="16"/>
                <w:szCs w:val="16"/>
              </w:rPr>
            </w:pPr>
            <w:r>
              <w:rPr>
                <w:noProof/>
                <w:sz w:val="16"/>
                <w:szCs w:val="16"/>
                <w:lang w:eastAsia="el-GR" w:bidi="ar-SA"/>
              </w:rPr>
              <w:drawing>
                <wp:inline distT="0" distB="0" distL="0" distR="0" wp14:anchorId="009EE451" wp14:editId="6AA9A129">
                  <wp:extent cx="1049772" cy="587659"/>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
                          <a:srcRect l="21020" r="20316" b="18194"/>
                          <a:stretch>
                            <a:fillRect/>
                          </a:stretch>
                        </pic:blipFill>
                        <pic:spPr>
                          <a:xfrm>
                            <a:off x="0" y="0"/>
                            <a:ext cx="1049772" cy="587659"/>
                          </a:xfrm>
                          <a:prstGeom prst="rect">
                            <a:avLst/>
                          </a:prstGeom>
                          <a:ln/>
                        </pic:spPr>
                      </pic:pic>
                    </a:graphicData>
                  </a:graphic>
                </wp:inline>
              </w:drawing>
            </w:r>
          </w:p>
        </w:tc>
        <w:tc>
          <w:tcPr>
            <w:tcW w:w="1521" w:type="dxa"/>
            <w:gridSpan w:val="2"/>
          </w:tcPr>
          <w:p w14:paraId="05BC733E" w14:textId="77777777" w:rsidR="00AB4DA4" w:rsidRDefault="00AB4DA4" w:rsidP="00315DD0">
            <w:pPr>
              <w:rPr>
                <w:sz w:val="16"/>
                <w:szCs w:val="16"/>
              </w:rPr>
            </w:pPr>
            <w:r>
              <w:rPr>
                <w:noProof/>
                <w:sz w:val="16"/>
                <w:szCs w:val="16"/>
                <w:lang w:eastAsia="el-GR" w:bidi="ar-SA"/>
              </w:rPr>
              <w:drawing>
                <wp:inline distT="0" distB="0" distL="0" distR="0" wp14:anchorId="08988268" wp14:editId="5DCF8CEC">
                  <wp:extent cx="846290" cy="630274"/>
                  <wp:effectExtent l="0" t="0" r="0" b="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l="13851" t="35173" r="12037" b="11431"/>
                          <a:stretch>
                            <a:fillRect/>
                          </a:stretch>
                        </pic:blipFill>
                        <pic:spPr>
                          <a:xfrm>
                            <a:off x="0" y="0"/>
                            <a:ext cx="846290" cy="630274"/>
                          </a:xfrm>
                          <a:prstGeom prst="rect">
                            <a:avLst/>
                          </a:prstGeom>
                          <a:ln/>
                        </pic:spPr>
                      </pic:pic>
                    </a:graphicData>
                  </a:graphic>
                </wp:inline>
              </w:drawing>
            </w:r>
          </w:p>
        </w:tc>
      </w:tr>
      <w:tr w:rsidR="00AB4DA4" w14:paraId="68197C98" w14:textId="77777777" w:rsidTr="008A1378">
        <w:trPr>
          <w:gridAfter w:val="1"/>
          <w:wAfter w:w="10" w:type="dxa"/>
          <w:jc w:val="center"/>
        </w:trPr>
        <w:tc>
          <w:tcPr>
            <w:tcW w:w="236" w:type="dxa"/>
          </w:tcPr>
          <w:p w14:paraId="22BE3824" w14:textId="77777777" w:rsidR="00AB4DA4" w:rsidRDefault="00AB4DA4" w:rsidP="00315DD0">
            <w:pPr>
              <w:widowControl w:val="0"/>
              <w:spacing w:line="276" w:lineRule="auto"/>
              <w:rPr>
                <w:sz w:val="16"/>
                <w:szCs w:val="16"/>
              </w:rPr>
            </w:pPr>
          </w:p>
        </w:tc>
        <w:tc>
          <w:tcPr>
            <w:tcW w:w="4318" w:type="dxa"/>
            <w:gridSpan w:val="3"/>
          </w:tcPr>
          <w:p w14:paraId="767C9005" w14:textId="77777777" w:rsidR="00AB4DA4" w:rsidRDefault="00AB4DA4" w:rsidP="00315DD0">
            <w:pPr>
              <w:jc w:val="center"/>
              <w:rPr>
                <w:sz w:val="16"/>
                <w:szCs w:val="16"/>
              </w:rPr>
            </w:pPr>
            <w:r>
              <w:rPr>
                <w:noProof/>
                <w:sz w:val="16"/>
                <w:szCs w:val="16"/>
                <w:lang w:eastAsia="el-GR" w:bidi="ar-SA"/>
              </w:rPr>
              <w:drawing>
                <wp:inline distT="0" distB="0" distL="0" distR="0" wp14:anchorId="7E5E1BF6" wp14:editId="7B63B196">
                  <wp:extent cx="930963" cy="386715"/>
                  <wp:effectExtent l="0" t="0" r="0" b="0"/>
                  <wp:docPr id="18" name="image12.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8" name="image12.jpg" descr="Εικόνα που περιέχει κείμενο&#10;&#10;Περιγραφή που δημιουργήθηκε αυτόματα"/>
                          <pic:cNvPicPr preferRelativeResize="0"/>
                        </pic:nvPicPr>
                        <pic:blipFill>
                          <a:blip r:embed="rId14"/>
                          <a:srcRect l="9456" r="8192" b="16967"/>
                          <a:stretch>
                            <a:fillRect/>
                          </a:stretch>
                        </pic:blipFill>
                        <pic:spPr>
                          <a:xfrm>
                            <a:off x="0" y="0"/>
                            <a:ext cx="930963" cy="386715"/>
                          </a:xfrm>
                          <a:prstGeom prst="rect">
                            <a:avLst/>
                          </a:prstGeom>
                          <a:ln/>
                        </pic:spPr>
                      </pic:pic>
                    </a:graphicData>
                  </a:graphic>
                </wp:inline>
              </w:drawing>
            </w:r>
          </w:p>
        </w:tc>
        <w:tc>
          <w:tcPr>
            <w:tcW w:w="4462" w:type="dxa"/>
            <w:gridSpan w:val="3"/>
          </w:tcPr>
          <w:p w14:paraId="23AE12F1" w14:textId="77777777" w:rsidR="00AB4DA4" w:rsidRDefault="00AB4DA4" w:rsidP="00315DD0">
            <w:pPr>
              <w:jc w:val="center"/>
              <w:rPr>
                <w:sz w:val="16"/>
                <w:szCs w:val="16"/>
              </w:rPr>
            </w:pPr>
            <w:r>
              <w:rPr>
                <w:noProof/>
                <w:sz w:val="16"/>
                <w:szCs w:val="16"/>
                <w:lang w:eastAsia="el-GR" w:bidi="ar-SA"/>
              </w:rPr>
              <w:drawing>
                <wp:inline distT="0" distB="0" distL="0" distR="0" wp14:anchorId="3AA0C632" wp14:editId="44E04BFF">
                  <wp:extent cx="1113416" cy="393444"/>
                  <wp:effectExtent l="0" t="0" r="0" b="0"/>
                  <wp:docPr id="16" name="image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6" name="image8.jpg" descr="Εικόνα που περιέχει κείμενο, clipart&#10;&#10;Περιγραφή που δημιουργήθηκε αυτόματα"/>
                          <pic:cNvPicPr preferRelativeResize="0"/>
                        </pic:nvPicPr>
                        <pic:blipFill>
                          <a:blip r:embed="rId15"/>
                          <a:srcRect b="14548"/>
                          <a:stretch>
                            <a:fillRect/>
                          </a:stretch>
                        </pic:blipFill>
                        <pic:spPr>
                          <a:xfrm>
                            <a:off x="0" y="0"/>
                            <a:ext cx="1113416" cy="393444"/>
                          </a:xfrm>
                          <a:prstGeom prst="rect">
                            <a:avLst/>
                          </a:prstGeom>
                          <a:ln/>
                        </pic:spPr>
                      </pic:pic>
                    </a:graphicData>
                  </a:graphic>
                </wp:inline>
              </w:drawing>
            </w:r>
          </w:p>
        </w:tc>
      </w:tr>
    </w:tbl>
    <w:p w14:paraId="3B247515" w14:textId="626142EB" w:rsidR="008A1378" w:rsidRDefault="008A1378" w:rsidP="008A1378">
      <w:pPr>
        <w:rPr>
          <w:sz w:val="16"/>
          <w:szCs w:val="16"/>
          <w:lang w:val="en-US"/>
        </w:rPr>
      </w:pPr>
    </w:p>
    <w:p w14:paraId="4A47A0FE" w14:textId="40B41214" w:rsidR="008A1378" w:rsidRPr="008A1378" w:rsidRDefault="00A75F80" w:rsidP="008A1378">
      <w:pPr>
        <w:rPr>
          <w:sz w:val="16"/>
          <w:szCs w:val="16"/>
          <w:lang w:val="en-US"/>
        </w:rPr>
      </w:pPr>
      <w:r>
        <w:rPr>
          <w:noProof/>
          <w:sz w:val="16"/>
          <w:szCs w:val="16"/>
          <w:lang w:eastAsia="el-GR"/>
        </w:rPr>
        <w:drawing>
          <wp:anchor distT="0" distB="0" distL="114300" distR="114300" simplePos="0" relativeHeight="251657216" behindDoc="1" locked="0" layoutInCell="1" allowOverlap="1" wp14:anchorId="2D3B07D5" wp14:editId="45157D91">
            <wp:simplePos x="0" y="0"/>
            <wp:positionH relativeFrom="margin">
              <wp:posOffset>-238125</wp:posOffset>
            </wp:positionH>
            <wp:positionV relativeFrom="margin">
              <wp:posOffset>7932420</wp:posOffset>
            </wp:positionV>
            <wp:extent cx="1742440" cy="48260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2440" cy="482600"/>
                    </a:xfrm>
                    <a:prstGeom prst="rect">
                      <a:avLst/>
                    </a:prstGeom>
                    <a:noFill/>
                  </pic:spPr>
                </pic:pic>
              </a:graphicData>
            </a:graphic>
            <wp14:sizeRelH relativeFrom="page">
              <wp14:pctWidth>0</wp14:pctWidth>
            </wp14:sizeRelH>
            <wp14:sizeRelV relativeFrom="page">
              <wp14:pctHeight>0</wp14:pctHeight>
            </wp14:sizeRelV>
          </wp:anchor>
        </w:drawing>
      </w:r>
    </w:p>
    <w:p w14:paraId="00AC674C" w14:textId="3566B82B" w:rsidR="008A1378" w:rsidRDefault="008A1378" w:rsidP="008A1378">
      <w:pPr>
        <w:rPr>
          <w:sz w:val="16"/>
          <w:szCs w:val="16"/>
        </w:rPr>
      </w:pPr>
      <w:r w:rsidRPr="000A2839">
        <w:rPr>
          <w:sz w:val="16"/>
          <w:szCs w:val="16"/>
        </w:rPr>
        <w:t xml:space="preserve">Η υποστήριξη της Ευρωπαϊκής Επιτροπής για την παραγωγή της παρούσας έκδοσης, δεν συνιστά αποδοχή του περιεχομένου, το οποίο αντανακλά τις απόψεις μόνον των δημιουργών, και η Ευρωπαϊκή Επιτροπή δεν φέρει ουδεμία ευθύνη για οποιαδήποτε χρήση των πληροφοριών που εμπεριέχονται σε αυτό. </w:t>
      </w:r>
      <w:r>
        <w:rPr>
          <w:sz w:val="16"/>
          <w:szCs w:val="16"/>
        </w:rPr>
        <w:t>Αριθμός προγράμματος</w:t>
      </w:r>
      <w:r w:rsidRPr="000A2839">
        <w:rPr>
          <w:sz w:val="16"/>
          <w:szCs w:val="16"/>
        </w:rPr>
        <w:t>: 2020-1-</w:t>
      </w:r>
      <w:r>
        <w:rPr>
          <w:sz w:val="16"/>
          <w:szCs w:val="16"/>
        </w:rPr>
        <w:t>DE</w:t>
      </w:r>
      <w:r w:rsidRPr="000A2839">
        <w:rPr>
          <w:sz w:val="16"/>
          <w:szCs w:val="16"/>
        </w:rPr>
        <w:t>02-</w:t>
      </w:r>
      <w:r>
        <w:rPr>
          <w:sz w:val="16"/>
          <w:szCs w:val="16"/>
        </w:rPr>
        <w:t>KA</w:t>
      </w:r>
      <w:r w:rsidRPr="000A2839">
        <w:rPr>
          <w:sz w:val="16"/>
          <w:szCs w:val="16"/>
        </w:rPr>
        <w:t>204-007679.</w:t>
      </w:r>
    </w:p>
    <w:p w14:paraId="710378B7" w14:textId="77777777" w:rsidR="008A1378" w:rsidRPr="000A2839" w:rsidRDefault="008A1378" w:rsidP="008A1378">
      <w:pPr>
        <w:rPr>
          <w:sz w:val="16"/>
          <w:szCs w:val="16"/>
        </w:rPr>
        <w:sectPr w:rsidR="008A1378" w:rsidRPr="000A2839" w:rsidSect="00067368">
          <w:headerReference w:type="default" r:id="rId17"/>
          <w:footerReference w:type="default" r:id="rId18"/>
          <w:footerReference w:type="first" r:id="rId19"/>
          <w:pgSz w:w="11906" w:h="16838"/>
          <w:pgMar w:top="1417" w:right="1417" w:bottom="1134" w:left="1417" w:header="708" w:footer="708" w:gutter="0"/>
          <w:pgNumType w:start="1"/>
          <w:cols w:space="720"/>
          <w:titlePg/>
          <w:docGrid w:linePitch="299"/>
        </w:sectPr>
      </w:pPr>
    </w:p>
    <w:p w14:paraId="28E879AF" w14:textId="4CE25B9F" w:rsidR="008A1378" w:rsidRPr="000A2839" w:rsidRDefault="008A1378" w:rsidP="008A1378">
      <w:pPr>
        <w:rPr>
          <w:b/>
          <w:sz w:val="24"/>
          <w:szCs w:val="24"/>
        </w:rPr>
      </w:pPr>
      <w:r>
        <w:rPr>
          <w:sz w:val="24"/>
          <w:szCs w:val="24"/>
        </w:rPr>
        <w:lastRenderedPageBreak/>
        <w:t>Αυτό</w:t>
      </w:r>
      <w:r w:rsidRPr="000A2839">
        <w:rPr>
          <w:sz w:val="24"/>
          <w:szCs w:val="24"/>
        </w:rPr>
        <w:t xml:space="preserve"> </w:t>
      </w:r>
      <w:r>
        <w:rPr>
          <w:sz w:val="24"/>
          <w:szCs w:val="24"/>
        </w:rPr>
        <w:t>το</w:t>
      </w:r>
      <w:r w:rsidRPr="000A2839">
        <w:rPr>
          <w:sz w:val="24"/>
          <w:szCs w:val="24"/>
        </w:rPr>
        <w:t xml:space="preserve"> </w:t>
      </w:r>
      <w:r>
        <w:rPr>
          <w:sz w:val="24"/>
          <w:szCs w:val="24"/>
        </w:rPr>
        <w:t>εγχειρίδιο</w:t>
      </w:r>
      <w:r w:rsidRPr="000A2839">
        <w:rPr>
          <w:sz w:val="24"/>
          <w:szCs w:val="24"/>
        </w:rPr>
        <w:t xml:space="preserve"> </w:t>
      </w:r>
      <w:r>
        <w:rPr>
          <w:sz w:val="24"/>
          <w:szCs w:val="24"/>
        </w:rPr>
        <w:t>για</w:t>
      </w:r>
      <w:r w:rsidRPr="000A2839">
        <w:rPr>
          <w:sz w:val="24"/>
          <w:szCs w:val="24"/>
        </w:rPr>
        <w:t xml:space="preserve"> </w:t>
      </w:r>
      <w:r>
        <w:rPr>
          <w:sz w:val="24"/>
          <w:szCs w:val="24"/>
        </w:rPr>
        <w:t>την</w:t>
      </w:r>
      <w:r w:rsidRPr="000A2839">
        <w:rPr>
          <w:sz w:val="24"/>
          <w:szCs w:val="24"/>
        </w:rPr>
        <w:t xml:space="preserve"> </w:t>
      </w:r>
      <w:r>
        <w:rPr>
          <w:sz w:val="24"/>
          <w:szCs w:val="24"/>
        </w:rPr>
        <w:t>θεματική</w:t>
      </w:r>
      <w:r w:rsidRPr="000A2839">
        <w:rPr>
          <w:sz w:val="24"/>
          <w:szCs w:val="24"/>
        </w:rPr>
        <w:t xml:space="preserve"> </w:t>
      </w:r>
      <w:r>
        <w:rPr>
          <w:sz w:val="24"/>
          <w:szCs w:val="24"/>
        </w:rPr>
        <w:t>ενότητα</w:t>
      </w:r>
      <w:r w:rsidRPr="000A2839">
        <w:rPr>
          <w:sz w:val="24"/>
          <w:szCs w:val="24"/>
        </w:rPr>
        <w:t xml:space="preserve"> </w:t>
      </w:r>
      <w:r w:rsidRPr="008A1378">
        <w:rPr>
          <w:sz w:val="24"/>
          <w:szCs w:val="24"/>
        </w:rPr>
        <w:t>2</w:t>
      </w:r>
      <w:r w:rsidRPr="000A2839">
        <w:rPr>
          <w:sz w:val="24"/>
          <w:szCs w:val="24"/>
        </w:rPr>
        <w:t xml:space="preserve"> </w:t>
      </w:r>
      <w:r>
        <w:rPr>
          <w:sz w:val="24"/>
          <w:szCs w:val="24"/>
        </w:rPr>
        <w:t>αποτελεί</w:t>
      </w:r>
      <w:r w:rsidRPr="000A2839">
        <w:rPr>
          <w:sz w:val="24"/>
          <w:szCs w:val="24"/>
        </w:rPr>
        <w:t xml:space="preserve"> </w:t>
      </w:r>
      <w:r>
        <w:rPr>
          <w:sz w:val="24"/>
          <w:szCs w:val="24"/>
        </w:rPr>
        <w:t>μέρος</w:t>
      </w:r>
      <w:r w:rsidRPr="000A2839">
        <w:rPr>
          <w:sz w:val="24"/>
          <w:szCs w:val="24"/>
        </w:rPr>
        <w:t xml:space="preserve"> </w:t>
      </w:r>
      <w:r>
        <w:rPr>
          <w:sz w:val="24"/>
          <w:szCs w:val="24"/>
        </w:rPr>
        <w:t>του</w:t>
      </w:r>
      <w:r w:rsidRPr="000A2839">
        <w:rPr>
          <w:sz w:val="24"/>
          <w:szCs w:val="24"/>
        </w:rPr>
        <w:t xml:space="preserve"> </w:t>
      </w:r>
      <w:r>
        <w:rPr>
          <w:sz w:val="24"/>
          <w:szCs w:val="24"/>
        </w:rPr>
        <w:t>προγράμματος</w:t>
      </w:r>
      <w:r w:rsidRPr="000A2839">
        <w:rPr>
          <w:sz w:val="24"/>
          <w:szCs w:val="24"/>
        </w:rPr>
        <w:t xml:space="preserve"> </w:t>
      </w:r>
      <w:r>
        <w:rPr>
          <w:sz w:val="24"/>
          <w:szCs w:val="24"/>
        </w:rPr>
        <w:t>MIG</w:t>
      </w:r>
      <w:r w:rsidRPr="000A2839">
        <w:rPr>
          <w:sz w:val="24"/>
          <w:szCs w:val="24"/>
        </w:rPr>
        <w:t>-</w:t>
      </w:r>
      <w:r>
        <w:rPr>
          <w:sz w:val="24"/>
          <w:szCs w:val="24"/>
        </w:rPr>
        <w:t>DHL</w:t>
      </w:r>
      <w:r w:rsidRPr="000A2839">
        <w:rPr>
          <w:sz w:val="24"/>
          <w:szCs w:val="24"/>
        </w:rPr>
        <w:t xml:space="preserve"> </w:t>
      </w:r>
      <w:r>
        <w:rPr>
          <w:sz w:val="24"/>
          <w:szCs w:val="24"/>
        </w:rPr>
        <w:t>το</w:t>
      </w:r>
      <w:r w:rsidRPr="000A2839">
        <w:rPr>
          <w:sz w:val="24"/>
          <w:szCs w:val="24"/>
        </w:rPr>
        <w:t xml:space="preserve"> </w:t>
      </w:r>
      <w:r>
        <w:rPr>
          <w:sz w:val="24"/>
          <w:szCs w:val="24"/>
        </w:rPr>
        <w:t xml:space="preserve">οποίο αποτελείται από 6 εκπαιδευτικές θεματικές ενότητες στο σύνολο, οι οποίες έχουν αναπτυχθεί στα πλαίσια της Στρατηγικής Σύμπραξης </w:t>
      </w:r>
      <w:proofErr w:type="spellStart"/>
      <w:r>
        <w:rPr>
          <w:sz w:val="24"/>
          <w:szCs w:val="24"/>
        </w:rPr>
        <w:t>Erasmus</w:t>
      </w:r>
      <w:proofErr w:type="spellEnd"/>
      <w:r w:rsidRPr="000A2839">
        <w:rPr>
          <w:sz w:val="24"/>
          <w:szCs w:val="24"/>
        </w:rPr>
        <w:t xml:space="preserve">+ </w:t>
      </w:r>
      <w:r>
        <w:rPr>
          <w:b/>
          <w:sz w:val="24"/>
          <w:szCs w:val="24"/>
        </w:rPr>
        <w:t>MIG</w:t>
      </w:r>
      <w:r w:rsidRPr="000A2839">
        <w:rPr>
          <w:b/>
          <w:sz w:val="24"/>
          <w:szCs w:val="24"/>
        </w:rPr>
        <w:t>-</w:t>
      </w:r>
      <w:r>
        <w:rPr>
          <w:b/>
          <w:sz w:val="24"/>
          <w:szCs w:val="24"/>
        </w:rPr>
        <w:t>DHL</w:t>
      </w:r>
      <w:r w:rsidRPr="000A2839">
        <w:rPr>
          <w:b/>
          <w:sz w:val="24"/>
          <w:szCs w:val="24"/>
        </w:rPr>
        <w:t xml:space="preserve">- </w:t>
      </w:r>
      <w:proofErr w:type="spellStart"/>
      <w:r>
        <w:rPr>
          <w:b/>
          <w:sz w:val="24"/>
          <w:szCs w:val="24"/>
        </w:rPr>
        <w:t>Migrants</w:t>
      </w:r>
      <w:proofErr w:type="spellEnd"/>
      <w:r w:rsidRPr="000A2839">
        <w:rPr>
          <w:b/>
          <w:sz w:val="24"/>
          <w:szCs w:val="24"/>
        </w:rPr>
        <w:t xml:space="preserve"> </w:t>
      </w:r>
      <w:proofErr w:type="spellStart"/>
      <w:r>
        <w:rPr>
          <w:b/>
          <w:sz w:val="24"/>
          <w:szCs w:val="24"/>
        </w:rPr>
        <w:t>Digital</w:t>
      </w:r>
      <w:proofErr w:type="spellEnd"/>
      <w:r w:rsidRPr="000A2839">
        <w:rPr>
          <w:b/>
          <w:sz w:val="24"/>
          <w:szCs w:val="24"/>
        </w:rPr>
        <w:t xml:space="preserve"> </w:t>
      </w:r>
      <w:r>
        <w:rPr>
          <w:b/>
          <w:sz w:val="24"/>
          <w:szCs w:val="24"/>
        </w:rPr>
        <w:t>Health</w:t>
      </w:r>
      <w:r w:rsidRPr="000A2839">
        <w:rPr>
          <w:b/>
          <w:sz w:val="24"/>
          <w:szCs w:val="24"/>
        </w:rPr>
        <w:t xml:space="preserve"> </w:t>
      </w:r>
      <w:proofErr w:type="spellStart"/>
      <w:r>
        <w:rPr>
          <w:b/>
          <w:sz w:val="24"/>
          <w:szCs w:val="24"/>
        </w:rPr>
        <w:t>Literacy</w:t>
      </w:r>
      <w:proofErr w:type="spellEnd"/>
      <w:r w:rsidRPr="000A2839">
        <w:rPr>
          <w:b/>
          <w:sz w:val="24"/>
          <w:szCs w:val="24"/>
        </w:rPr>
        <w:t xml:space="preserve">. </w:t>
      </w:r>
    </w:p>
    <w:p w14:paraId="7990EFFC" w14:textId="77777777" w:rsidR="008A1378" w:rsidRPr="007455B5" w:rsidRDefault="008A1378" w:rsidP="008A1378">
      <w:pPr>
        <w:keepNext/>
        <w:keepLines/>
        <w:pBdr>
          <w:bottom w:val="single" w:sz="4" w:space="1" w:color="C00000"/>
        </w:pBdr>
        <w:spacing w:before="280" w:after="480"/>
        <w:ind w:left="432"/>
        <w:rPr>
          <w:color w:val="2F5496"/>
          <w:sz w:val="32"/>
          <w:szCs w:val="32"/>
        </w:rPr>
      </w:pPr>
      <w:r>
        <w:rPr>
          <w:color w:val="2F5496"/>
          <w:sz w:val="32"/>
          <w:szCs w:val="32"/>
        </w:rPr>
        <w:t>Τα περιεχόμενα του εκπαιδευτικού προγράμματος</w:t>
      </w:r>
      <w:r w:rsidRPr="007455B5">
        <w:rPr>
          <w:color w:val="2F5496"/>
          <w:sz w:val="32"/>
          <w:szCs w:val="32"/>
        </w:rPr>
        <w:t>:</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8A1378" w14:paraId="475591BE" w14:textId="77777777" w:rsidTr="00E32282">
        <w:trPr>
          <w:trHeight w:val="609"/>
          <w:jc w:val="center"/>
        </w:trPr>
        <w:tc>
          <w:tcPr>
            <w:tcW w:w="8647" w:type="dxa"/>
            <w:tcBorders>
              <w:bottom w:val="single" w:sz="18" w:space="0" w:color="FFFFFF"/>
            </w:tcBorders>
            <w:shd w:val="clear" w:color="auto" w:fill="auto"/>
            <w:tcMar>
              <w:top w:w="57" w:type="dxa"/>
              <w:bottom w:w="57" w:type="dxa"/>
            </w:tcMar>
            <w:vAlign w:val="center"/>
          </w:tcPr>
          <w:p w14:paraId="48538657" w14:textId="77777777" w:rsidR="008A1378" w:rsidRDefault="008A1378" w:rsidP="00E32282">
            <w:pPr>
              <w:rPr>
                <w:b/>
                <w:color w:val="1A1364"/>
                <w:sz w:val="24"/>
                <w:szCs w:val="24"/>
              </w:rPr>
            </w:pPr>
            <w:r>
              <w:rPr>
                <w:b/>
                <w:color w:val="1A1364"/>
                <w:sz w:val="24"/>
                <w:szCs w:val="24"/>
              </w:rPr>
              <w:t xml:space="preserve">Το πρόγραμμα MIG-DHL </w:t>
            </w:r>
          </w:p>
        </w:tc>
      </w:tr>
      <w:tr w:rsidR="008A1378" w:rsidRPr="00A34C45" w14:paraId="7B8C90F1"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8C51392" w14:textId="77777777" w:rsidR="008A1378" w:rsidRPr="005805EA" w:rsidRDefault="008A1378" w:rsidP="00E32282">
            <w:pPr>
              <w:spacing w:line="312" w:lineRule="auto"/>
              <w:rPr>
                <w:rFonts w:ascii="Arial" w:eastAsia="Arial" w:hAnsi="Arial" w:cs="Arial"/>
                <w:color w:val="FFFFFF"/>
              </w:rPr>
            </w:pPr>
            <w:r>
              <w:rPr>
                <w:rFonts w:ascii="Arial" w:eastAsia="Arial" w:hAnsi="Arial" w:cs="Arial"/>
                <w:color w:val="FFFFFF"/>
              </w:rPr>
              <w:t>Θεματική</w:t>
            </w:r>
            <w:r w:rsidRPr="005805EA">
              <w:rPr>
                <w:rFonts w:ascii="Arial" w:eastAsia="Arial" w:hAnsi="Arial" w:cs="Arial"/>
                <w:color w:val="FFFFFF"/>
              </w:rPr>
              <w:t xml:space="preserve"> 1: Τι είναι ο ψηφιακός αλφαβητισμός για την υγεία και  ποια η σημασία του</w:t>
            </w:r>
            <w:r>
              <w:rPr>
                <w:rFonts w:ascii="Arial" w:eastAsia="Arial" w:hAnsi="Arial" w:cs="Arial"/>
                <w:color w:val="FFFFFF"/>
              </w:rPr>
              <w:t>;</w:t>
            </w:r>
          </w:p>
        </w:tc>
      </w:tr>
      <w:tr w:rsidR="008A1378" w:rsidRPr="008A1378" w14:paraId="7C78483E" w14:textId="77777777" w:rsidTr="008A1378">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5AA163A3" w14:textId="77777777" w:rsidR="008A1378" w:rsidRPr="008A1378" w:rsidRDefault="008A1378" w:rsidP="00E32282">
            <w:pPr>
              <w:spacing w:line="312" w:lineRule="auto"/>
              <w:rPr>
                <w:rFonts w:ascii="Arial" w:eastAsia="Arial" w:hAnsi="Arial" w:cs="Arial"/>
                <w:b/>
                <w:color w:val="FFFFFF"/>
              </w:rPr>
            </w:pPr>
            <w:r w:rsidRPr="008A1378">
              <w:rPr>
                <w:rFonts w:ascii="Arial" w:eastAsia="Arial" w:hAnsi="Arial" w:cs="Arial"/>
                <w:b/>
                <w:color w:val="FFFFFF"/>
              </w:rPr>
              <w:t>Θεματική 2: Κύρια προβλήματα υγείας κατά την άφιξη σε μια νέα χώρα</w:t>
            </w:r>
          </w:p>
        </w:tc>
      </w:tr>
      <w:tr w:rsidR="008A1378" w:rsidRPr="008A1378" w14:paraId="7DE7DCFE" w14:textId="77777777" w:rsidTr="008A1378">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D785F2C" w14:textId="77777777" w:rsidR="008A1378" w:rsidRPr="008A1378" w:rsidRDefault="008A1378" w:rsidP="00E32282">
            <w:pPr>
              <w:spacing w:line="312" w:lineRule="auto"/>
              <w:rPr>
                <w:rFonts w:ascii="Arial" w:eastAsia="Arial" w:hAnsi="Arial" w:cs="Arial"/>
              </w:rPr>
            </w:pPr>
            <w:r w:rsidRPr="008A1378">
              <w:rPr>
                <w:rFonts w:ascii="Arial" w:eastAsia="Arial" w:hAnsi="Arial" w:cs="Arial"/>
              </w:rPr>
              <w:t>Θεματική 3: Υπηρεσίες Υγειονομικής Περίθαλψης</w:t>
            </w:r>
          </w:p>
        </w:tc>
      </w:tr>
      <w:tr w:rsidR="008A1378" w14:paraId="3DA90450"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315FD73" w14:textId="77777777" w:rsidR="008A1378" w:rsidRDefault="008A1378" w:rsidP="00E32282">
            <w:pPr>
              <w:spacing w:line="312" w:lineRule="auto"/>
              <w:rPr>
                <w:rFonts w:ascii="Arial" w:eastAsia="Arial" w:hAnsi="Arial" w:cs="Arial"/>
              </w:rPr>
            </w:pPr>
            <w:r>
              <w:rPr>
                <w:rFonts w:ascii="Arial" w:eastAsia="Arial" w:hAnsi="Arial" w:cs="Arial"/>
                <w:color w:val="FFFFFF"/>
              </w:rPr>
              <w:t>Θεματική</w:t>
            </w:r>
            <w:r w:rsidRPr="000A2839">
              <w:rPr>
                <w:rFonts w:ascii="Arial" w:eastAsia="Arial" w:hAnsi="Arial" w:cs="Arial"/>
                <w:color w:val="FFFFFF"/>
                <w:lang w:val="en-US"/>
              </w:rPr>
              <w:t xml:space="preserve"> </w:t>
            </w:r>
            <w:r>
              <w:rPr>
                <w:rFonts w:ascii="Arial" w:eastAsia="Arial" w:hAnsi="Arial" w:cs="Arial"/>
                <w:color w:val="FFFFFF"/>
              </w:rPr>
              <w:t xml:space="preserve">4: </w:t>
            </w:r>
            <w:r w:rsidRPr="005805EA">
              <w:rPr>
                <w:rFonts w:ascii="Arial" w:eastAsia="Arial" w:hAnsi="Arial" w:cs="Arial"/>
                <w:color w:val="FFFFFF"/>
              </w:rPr>
              <w:t>Γίνομαι ψηφιακά εγγράμματος</w:t>
            </w:r>
          </w:p>
        </w:tc>
      </w:tr>
      <w:tr w:rsidR="008A1378" w:rsidRPr="00A34C45" w14:paraId="4E488C9E"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8173B3F" w14:textId="77777777" w:rsidR="008A1378" w:rsidRPr="005805EA" w:rsidRDefault="008A1378" w:rsidP="00E32282">
            <w:pPr>
              <w:spacing w:line="312" w:lineRule="auto"/>
              <w:rPr>
                <w:rFonts w:ascii="Arial" w:eastAsia="Arial" w:hAnsi="Arial" w:cs="Arial"/>
                <w:b/>
                <w:color w:val="FFFFFF"/>
              </w:rPr>
            </w:pPr>
            <w:r w:rsidRPr="005805EA">
              <w:rPr>
                <w:rFonts w:ascii="Arial" w:eastAsia="Arial" w:hAnsi="Arial" w:cs="Arial"/>
                <w:color w:val="FFFFFF"/>
              </w:rPr>
              <w:t>Θεματική 5: Πλοήγηση στο Εθνικό Σύστημα Υγείας μέσω του Διαδικτύου</w:t>
            </w:r>
          </w:p>
        </w:tc>
      </w:tr>
      <w:tr w:rsidR="008A1378" w:rsidRPr="00A34C45" w14:paraId="603DAFBB"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0477418" w14:textId="77777777" w:rsidR="008A1378" w:rsidRPr="005805EA" w:rsidRDefault="008A1378" w:rsidP="00E32282">
            <w:pPr>
              <w:spacing w:line="312" w:lineRule="auto"/>
              <w:rPr>
                <w:rFonts w:ascii="Arial" w:eastAsia="Arial" w:hAnsi="Arial" w:cs="Arial"/>
                <w:color w:val="FFFFFF"/>
              </w:rPr>
            </w:pPr>
            <w:r>
              <w:rPr>
                <w:rFonts w:ascii="Arial" w:eastAsia="Arial" w:hAnsi="Arial" w:cs="Arial"/>
                <w:color w:val="FFFFFF"/>
              </w:rPr>
              <w:t>Θεματική</w:t>
            </w:r>
            <w:r w:rsidRPr="005805EA">
              <w:rPr>
                <w:rFonts w:ascii="Arial" w:eastAsia="Arial" w:hAnsi="Arial" w:cs="Arial"/>
                <w:color w:val="FFFFFF"/>
              </w:rPr>
              <w:t xml:space="preserve"> 6: Δραστηριότητα στο ψηφιακό περιβάλλον υγείας</w:t>
            </w:r>
          </w:p>
        </w:tc>
      </w:tr>
    </w:tbl>
    <w:p w14:paraId="398B922B" w14:textId="77777777" w:rsidR="008A1378" w:rsidRPr="000A2839" w:rsidRDefault="008A1378" w:rsidP="008A1378">
      <w:pPr>
        <w:rPr>
          <w:sz w:val="24"/>
          <w:szCs w:val="24"/>
        </w:rPr>
      </w:pPr>
      <w:r>
        <w:rPr>
          <w:sz w:val="24"/>
          <w:szCs w:val="24"/>
        </w:rPr>
        <w:t>Μπορείτε να βρείτε περισσότερες πληροφορίες στο</w:t>
      </w:r>
      <w:r w:rsidRPr="000A2839">
        <w:rPr>
          <w:sz w:val="24"/>
          <w:szCs w:val="24"/>
        </w:rPr>
        <w:t>:</w:t>
      </w:r>
      <w:r w:rsidRPr="000A2839">
        <w:rPr>
          <w:color w:val="2E75B5"/>
          <w:sz w:val="24"/>
          <w:szCs w:val="24"/>
        </w:rPr>
        <w:t xml:space="preserve"> </w:t>
      </w:r>
      <w:r w:rsidRPr="000A2839">
        <w:rPr>
          <w:sz w:val="24"/>
          <w:szCs w:val="24"/>
        </w:rPr>
        <w:t xml:space="preserve"> </w:t>
      </w:r>
      <w:hyperlink r:id="rId20">
        <w:r>
          <w:rPr>
            <w:color w:val="0563C1"/>
            <w:sz w:val="24"/>
            <w:szCs w:val="24"/>
            <w:u w:val="single"/>
          </w:rPr>
          <w:t>https</w:t>
        </w:r>
        <w:r w:rsidRPr="000A2839">
          <w:rPr>
            <w:color w:val="0563C1"/>
            <w:sz w:val="24"/>
            <w:szCs w:val="24"/>
            <w:u w:val="single"/>
          </w:rPr>
          <w:t>://</w:t>
        </w:r>
        <w:r>
          <w:rPr>
            <w:color w:val="0563C1"/>
            <w:sz w:val="24"/>
            <w:szCs w:val="24"/>
            <w:u w:val="single"/>
          </w:rPr>
          <w:t>mig</w:t>
        </w:r>
        <w:r w:rsidRPr="000A2839">
          <w:rPr>
            <w:color w:val="0563C1"/>
            <w:sz w:val="24"/>
            <w:szCs w:val="24"/>
            <w:u w:val="single"/>
          </w:rPr>
          <w:t>-</w:t>
        </w:r>
        <w:r>
          <w:rPr>
            <w:color w:val="0563C1"/>
            <w:sz w:val="24"/>
            <w:szCs w:val="24"/>
            <w:u w:val="single"/>
          </w:rPr>
          <w:t>dhl</w:t>
        </w:r>
        <w:r w:rsidRPr="000A2839">
          <w:rPr>
            <w:color w:val="0563C1"/>
            <w:sz w:val="24"/>
            <w:szCs w:val="24"/>
            <w:u w:val="single"/>
          </w:rPr>
          <w:t>.</w:t>
        </w:r>
        <w:r>
          <w:rPr>
            <w:color w:val="0563C1"/>
            <w:sz w:val="24"/>
            <w:szCs w:val="24"/>
            <w:u w:val="single"/>
          </w:rPr>
          <w:t>eu</w:t>
        </w:r>
        <w:r w:rsidRPr="000A2839">
          <w:rPr>
            <w:color w:val="0563C1"/>
            <w:sz w:val="24"/>
            <w:szCs w:val="24"/>
            <w:u w:val="single"/>
          </w:rPr>
          <w:t>/</w:t>
        </w:r>
      </w:hyperlink>
      <w:r w:rsidRPr="000A2839">
        <w:rPr>
          <w:sz w:val="24"/>
          <w:szCs w:val="24"/>
        </w:rPr>
        <w:t xml:space="preserve"> </w:t>
      </w:r>
    </w:p>
    <w:p w14:paraId="43E4DF30" w14:textId="77777777" w:rsidR="005449D0" w:rsidRPr="008A1378" w:rsidRDefault="005449D0" w:rsidP="005449D0">
      <w:pPr>
        <w:rPr>
          <w:sz w:val="24"/>
          <w:szCs w:val="24"/>
        </w:rPr>
      </w:pPr>
      <w:r w:rsidRPr="008A1378">
        <w:br w:type="page"/>
      </w:r>
    </w:p>
    <w:p w14:paraId="087F4567" w14:textId="77777777" w:rsidR="008A1378" w:rsidRDefault="008A1378" w:rsidP="008A1378">
      <w:pPr>
        <w:jc w:val="center"/>
        <w:rPr>
          <w:b/>
          <w:color w:val="002060"/>
          <w:sz w:val="24"/>
          <w:szCs w:val="24"/>
        </w:rPr>
      </w:pPr>
      <w:r>
        <w:rPr>
          <w:b/>
          <w:color w:val="002060"/>
          <w:sz w:val="24"/>
          <w:szCs w:val="24"/>
        </w:rPr>
        <w:lastRenderedPageBreak/>
        <w:t>Δ</w:t>
      </w:r>
      <w:r w:rsidRPr="005C4F06">
        <w:rPr>
          <w:b/>
          <w:color w:val="002060"/>
          <w:sz w:val="24"/>
          <w:szCs w:val="24"/>
        </w:rPr>
        <w:t>ήλωση περί πνευματικών δικαιωμάτων</w:t>
      </w:r>
      <w:r>
        <w:rPr>
          <w:b/>
          <w:color w:val="002060"/>
          <w:sz w:val="24"/>
          <w:szCs w:val="24"/>
        </w:rPr>
        <w:t>:</w:t>
      </w:r>
    </w:p>
    <w:p w14:paraId="15962C33" w14:textId="77777777" w:rsidR="008A1378" w:rsidRDefault="008A1378" w:rsidP="008A1378">
      <w:pPr>
        <w:jc w:val="center"/>
        <w:rPr>
          <w:b/>
          <w:color w:val="002060"/>
          <w:sz w:val="24"/>
          <w:szCs w:val="24"/>
        </w:rPr>
      </w:pPr>
      <w:r>
        <w:rPr>
          <w:b/>
          <w:noProof/>
          <w:color w:val="002060"/>
          <w:sz w:val="24"/>
          <w:szCs w:val="24"/>
          <w:lang w:eastAsia="el-GR"/>
        </w:rPr>
        <w:drawing>
          <wp:inline distT="0" distB="0" distL="0" distR="0" wp14:anchorId="2984D2FE" wp14:editId="679F219A">
            <wp:extent cx="1406013" cy="492105"/>
            <wp:effectExtent l="0" t="0" r="0" b="0"/>
            <wp:docPr id="10" name="image10.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0.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3D2A4F27" w14:textId="77777777" w:rsidR="008A1378" w:rsidRDefault="008A1378" w:rsidP="008A1378">
      <w:pPr>
        <w:jc w:val="center"/>
        <w:rPr>
          <w:sz w:val="24"/>
          <w:szCs w:val="24"/>
        </w:rPr>
      </w:pPr>
      <w:r w:rsidRPr="008A1378">
        <w:rPr>
          <w:sz w:val="24"/>
          <w:szCs w:val="24"/>
          <w:lang w:val="en-US"/>
        </w:rPr>
        <w:br/>
      </w:r>
      <w:r>
        <w:rPr>
          <w:sz w:val="24"/>
          <w:szCs w:val="24"/>
        </w:rPr>
        <w:t>Το</w:t>
      </w:r>
      <w:r w:rsidRPr="007455B5">
        <w:rPr>
          <w:sz w:val="24"/>
          <w:szCs w:val="24"/>
          <w:lang w:val="en-US"/>
        </w:rPr>
        <w:t xml:space="preserve"> </w:t>
      </w:r>
      <w:r>
        <w:rPr>
          <w:sz w:val="24"/>
          <w:szCs w:val="24"/>
        </w:rPr>
        <w:t>έργο</w:t>
      </w:r>
      <w:r w:rsidRPr="007455B5">
        <w:rPr>
          <w:sz w:val="24"/>
          <w:szCs w:val="24"/>
          <w:lang w:val="en-US"/>
        </w:rPr>
        <w:t xml:space="preserve"> </w:t>
      </w:r>
      <w:r>
        <w:rPr>
          <w:sz w:val="24"/>
          <w:szCs w:val="24"/>
        </w:rPr>
        <w:t>αυτό</w:t>
      </w:r>
      <w:r w:rsidRPr="007455B5">
        <w:rPr>
          <w:sz w:val="24"/>
          <w:szCs w:val="24"/>
          <w:lang w:val="en-US"/>
        </w:rPr>
        <w:t xml:space="preserve"> </w:t>
      </w:r>
      <w:r>
        <w:rPr>
          <w:sz w:val="24"/>
          <w:szCs w:val="24"/>
        </w:rPr>
        <w:t>έχει</w:t>
      </w:r>
      <w:r w:rsidRPr="007455B5">
        <w:rPr>
          <w:sz w:val="24"/>
          <w:szCs w:val="24"/>
          <w:lang w:val="en-US"/>
        </w:rPr>
        <w:t xml:space="preserve"> </w:t>
      </w:r>
      <w:proofErr w:type="spellStart"/>
      <w:r>
        <w:rPr>
          <w:sz w:val="24"/>
          <w:szCs w:val="24"/>
        </w:rPr>
        <w:t>αδειοδοτηθεί</w:t>
      </w:r>
      <w:proofErr w:type="spellEnd"/>
      <w:r w:rsidRPr="007455B5">
        <w:rPr>
          <w:sz w:val="24"/>
          <w:szCs w:val="24"/>
          <w:lang w:val="en-US"/>
        </w:rPr>
        <w:t xml:space="preserve"> </w:t>
      </w:r>
      <w:r>
        <w:rPr>
          <w:sz w:val="24"/>
          <w:szCs w:val="24"/>
        </w:rPr>
        <w:t>από</w:t>
      </w:r>
      <w:r w:rsidRPr="007455B5">
        <w:rPr>
          <w:sz w:val="24"/>
          <w:szCs w:val="24"/>
          <w:lang w:val="en-US"/>
        </w:rPr>
        <w:t xml:space="preserve"> </w:t>
      </w:r>
      <w:r>
        <w:rPr>
          <w:sz w:val="24"/>
          <w:szCs w:val="24"/>
        </w:rPr>
        <w:t>την</w:t>
      </w:r>
      <w:r w:rsidRPr="008A1378">
        <w:rPr>
          <w:sz w:val="24"/>
          <w:szCs w:val="24"/>
          <w:lang w:val="en-US"/>
        </w:rPr>
        <w:t xml:space="preserve"> Creative Commons Attribution-</w:t>
      </w:r>
      <w:proofErr w:type="spellStart"/>
      <w:r w:rsidRPr="008A1378">
        <w:rPr>
          <w:sz w:val="24"/>
          <w:szCs w:val="24"/>
          <w:lang w:val="en-US"/>
        </w:rPr>
        <w:t>NonCommercial</w:t>
      </w:r>
      <w:proofErr w:type="spellEnd"/>
      <w:r w:rsidRPr="008A1378">
        <w:rPr>
          <w:sz w:val="24"/>
          <w:szCs w:val="24"/>
          <w:lang w:val="en-US"/>
        </w:rPr>
        <w:t>-</w:t>
      </w:r>
      <w:proofErr w:type="spellStart"/>
      <w:r w:rsidRPr="008A1378">
        <w:rPr>
          <w:sz w:val="24"/>
          <w:szCs w:val="24"/>
          <w:lang w:val="en-US"/>
        </w:rPr>
        <w:t>ShareAlike</w:t>
      </w:r>
      <w:proofErr w:type="spellEnd"/>
      <w:r w:rsidRPr="008A1378">
        <w:rPr>
          <w:sz w:val="24"/>
          <w:szCs w:val="24"/>
          <w:lang w:val="en-US"/>
        </w:rPr>
        <w:t xml:space="preserve"> 4.0 </w:t>
      </w:r>
      <w:r>
        <w:rPr>
          <w:sz w:val="24"/>
          <w:szCs w:val="24"/>
        </w:rPr>
        <w:t>Διεθνή</w:t>
      </w:r>
      <w:r>
        <w:rPr>
          <w:sz w:val="24"/>
          <w:szCs w:val="24"/>
          <w:lang w:val="en-US"/>
        </w:rPr>
        <w:t xml:space="preserve"> </w:t>
      </w:r>
      <w:r>
        <w:rPr>
          <w:sz w:val="24"/>
          <w:szCs w:val="24"/>
        </w:rPr>
        <w:t>Άδεια</w:t>
      </w:r>
      <w:r w:rsidRPr="008A1378">
        <w:rPr>
          <w:sz w:val="24"/>
          <w:szCs w:val="24"/>
          <w:lang w:val="en-US"/>
        </w:rPr>
        <w:t xml:space="preserve">. </w:t>
      </w:r>
      <w:r>
        <w:rPr>
          <w:sz w:val="24"/>
          <w:szCs w:val="24"/>
        </w:rPr>
        <w:t>Είστε</w:t>
      </w:r>
      <w:r w:rsidRPr="007455B5">
        <w:rPr>
          <w:sz w:val="24"/>
          <w:szCs w:val="24"/>
        </w:rPr>
        <w:t xml:space="preserve"> </w:t>
      </w:r>
      <w:r>
        <w:rPr>
          <w:sz w:val="24"/>
          <w:szCs w:val="24"/>
        </w:rPr>
        <w:t>ελεύθεροι</w:t>
      </w:r>
      <w:r w:rsidRPr="007455B5">
        <w:rPr>
          <w:sz w:val="24"/>
          <w:szCs w:val="24"/>
        </w:rPr>
        <w:t xml:space="preserve"> </w:t>
      </w:r>
      <w:r>
        <w:rPr>
          <w:sz w:val="24"/>
          <w:szCs w:val="24"/>
        </w:rPr>
        <w:t>να:</w:t>
      </w:r>
    </w:p>
    <w:p w14:paraId="1B2B5C69" w14:textId="77777777" w:rsidR="008A1378" w:rsidRPr="007455B5" w:rsidRDefault="008A1378" w:rsidP="008A1378">
      <w:pPr>
        <w:numPr>
          <w:ilvl w:val="0"/>
          <w:numId w:val="3"/>
        </w:numPr>
        <w:spacing w:before="280" w:after="0" w:line="312" w:lineRule="auto"/>
        <w:jc w:val="both"/>
        <w:rPr>
          <w:color w:val="000000"/>
          <w:sz w:val="24"/>
          <w:szCs w:val="24"/>
        </w:rPr>
      </w:pPr>
      <w:r>
        <w:rPr>
          <w:sz w:val="24"/>
          <w:szCs w:val="24"/>
        </w:rPr>
        <w:t>διαμοιραστείτε</w:t>
      </w:r>
      <w:r w:rsidRPr="007455B5">
        <w:rPr>
          <w:sz w:val="24"/>
          <w:szCs w:val="24"/>
        </w:rPr>
        <w:t xml:space="preserve"> — </w:t>
      </w:r>
      <w:r>
        <w:rPr>
          <w:sz w:val="24"/>
          <w:szCs w:val="24"/>
        </w:rPr>
        <w:t>αντιγράψετε</w:t>
      </w:r>
      <w:r w:rsidRPr="007455B5">
        <w:rPr>
          <w:sz w:val="24"/>
          <w:szCs w:val="24"/>
        </w:rPr>
        <w:t xml:space="preserve"> </w:t>
      </w:r>
      <w:r>
        <w:rPr>
          <w:sz w:val="24"/>
          <w:szCs w:val="24"/>
        </w:rPr>
        <w:t>και</w:t>
      </w:r>
      <w:r w:rsidRPr="007455B5">
        <w:rPr>
          <w:sz w:val="24"/>
          <w:szCs w:val="24"/>
        </w:rPr>
        <w:t xml:space="preserve"> </w:t>
      </w:r>
      <w:r>
        <w:rPr>
          <w:sz w:val="24"/>
          <w:szCs w:val="24"/>
        </w:rPr>
        <w:t>αναδιανέμετε</w:t>
      </w:r>
      <w:r w:rsidRPr="007455B5">
        <w:rPr>
          <w:sz w:val="24"/>
          <w:szCs w:val="24"/>
        </w:rPr>
        <w:t xml:space="preserve"> </w:t>
      </w:r>
      <w:r>
        <w:rPr>
          <w:sz w:val="24"/>
          <w:szCs w:val="24"/>
        </w:rPr>
        <w:t>το</w:t>
      </w:r>
      <w:r w:rsidRPr="007455B5">
        <w:rPr>
          <w:sz w:val="24"/>
          <w:szCs w:val="24"/>
        </w:rPr>
        <w:t xml:space="preserve"> </w:t>
      </w:r>
      <w:r>
        <w:rPr>
          <w:sz w:val="24"/>
          <w:szCs w:val="24"/>
        </w:rPr>
        <w:t>υλικό</w:t>
      </w:r>
      <w:r w:rsidRPr="007455B5">
        <w:rPr>
          <w:sz w:val="24"/>
          <w:szCs w:val="24"/>
        </w:rPr>
        <w:t xml:space="preserve"> </w:t>
      </w:r>
      <w:r>
        <w:rPr>
          <w:sz w:val="24"/>
          <w:szCs w:val="24"/>
        </w:rPr>
        <w:t>σε</w:t>
      </w:r>
      <w:r w:rsidRPr="007455B5">
        <w:rPr>
          <w:sz w:val="24"/>
          <w:szCs w:val="24"/>
        </w:rPr>
        <w:t xml:space="preserve"> </w:t>
      </w:r>
      <w:r>
        <w:rPr>
          <w:sz w:val="24"/>
          <w:szCs w:val="24"/>
        </w:rPr>
        <w:t xml:space="preserve">κάθε μέσο ή μορφή </w:t>
      </w:r>
    </w:p>
    <w:p w14:paraId="6984F638" w14:textId="77777777" w:rsidR="008A1378" w:rsidRPr="005C4F06" w:rsidRDefault="008A1378" w:rsidP="008A1378">
      <w:pPr>
        <w:numPr>
          <w:ilvl w:val="0"/>
          <w:numId w:val="3"/>
        </w:numPr>
        <w:spacing w:after="200" w:line="312" w:lineRule="auto"/>
        <w:jc w:val="both"/>
        <w:rPr>
          <w:color w:val="262626"/>
          <w:sz w:val="24"/>
          <w:szCs w:val="24"/>
        </w:rPr>
      </w:pPr>
      <w:r w:rsidRPr="005C4F06">
        <w:rPr>
          <w:sz w:val="24"/>
          <w:szCs w:val="24"/>
        </w:rPr>
        <w:t xml:space="preserve">τροποποιήσετε — </w:t>
      </w:r>
      <w:r>
        <w:rPr>
          <w:sz w:val="24"/>
          <w:szCs w:val="24"/>
        </w:rPr>
        <w:t>διασκευάσετε</w:t>
      </w:r>
      <w:r w:rsidRPr="005C4F06">
        <w:rPr>
          <w:sz w:val="24"/>
          <w:szCs w:val="24"/>
        </w:rPr>
        <w:t xml:space="preserve">, </w:t>
      </w:r>
      <w:r>
        <w:rPr>
          <w:sz w:val="24"/>
          <w:szCs w:val="24"/>
        </w:rPr>
        <w:t>τροποποιήσετε</w:t>
      </w:r>
      <w:r w:rsidRPr="005C4F06">
        <w:rPr>
          <w:sz w:val="24"/>
          <w:szCs w:val="24"/>
        </w:rPr>
        <w:t xml:space="preserve"> και </w:t>
      </w:r>
      <w:r>
        <w:rPr>
          <w:sz w:val="24"/>
          <w:szCs w:val="24"/>
        </w:rPr>
        <w:t>δημιουργήσετε παράγωγα του υλικού</w:t>
      </w:r>
      <w:r w:rsidRPr="005C4F06">
        <w:rPr>
          <w:sz w:val="24"/>
          <w:szCs w:val="24"/>
        </w:rPr>
        <w:t xml:space="preserve"> </w:t>
      </w:r>
    </w:p>
    <w:p w14:paraId="2CE6A686" w14:textId="77777777" w:rsidR="008A1378" w:rsidRPr="005C4F06" w:rsidRDefault="008A1378" w:rsidP="008A1378">
      <w:pPr>
        <w:spacing w:after="200" w:line="312" w:lineRule="auto"/>
        <w:ind w:left="227"/>
        <w:rPr>
          <w:color w:val="262626"/>
          <w:sz w:val="24"/>
          <w:szCs w:val="24"/>
        </w:rPr>
      </w:pPr>
      <w:r>
        <w:rPr>
          <w:sz w:val="24"/>
          <w:szCs w:val="24"/>
        </w:rPr>
        <w:t>υ</w:t>
      </w:r>
      <w:r w:rsidRPr="005C4F06">
        <w:rPr>
          <w:color w:val="262626"/>
          <w:sz w:val="24"/>
          <w:szCs w:val="24"/>
        </w:rPr>
        <w:t>πό τους παρακάτω όρους:</w:t>
      </w:r>
    </w:p>
    <w:p w14:paraId="278F36E7" w14:textId="77777777" w:rsidR="008A1378" w:rsidRPr="007455B5" w:rsidRDefault="008A1378" w:rsidP="008A1378">
      <w:pPr>
        <w:numPr>
          <w:ilvl w:val="0"/>
          <w:numId w:val="3"/>
        </w:numPr>
        <w:spacing w:before="280" w:after="0" w:line="312" w:lineRule="auto"/>
        <w:jc w:val="both"/>
        <w:rPr>
          <w:sz w:val="24"/>
          <w:szCs w:val="24"/>
        </w:rPr>
      </w:pPr>
      <w:r>
        <w:rPr>
          <w:sz w:val="24"/>
          <w:szCs w:val="24"/>
        </w:rPr>
        <w:t xml:space="preserve">Αναφορά στον αρχικό δημιουργό - </w:t>
      </w:r>
      <w:r w:rsidRPr="007455B5">
        <w:rPr>
          <w:sz w:val="24"/>
          <w:szCs w:val="24"/>
        </w:rPr>
        <w:t>Σε αυτή την περίπτωση οποιοσδήποτε επιθυμεί να αναπαράγει ή να τροποποιήσει το εν λόγω έργο οφείλει να πραγματοποιήσει αναφορά στον αρχικό δημιουργό</w:t>
      </w:r>
      <w:r>
        <w:rPr>
          <w:sz w:val="24"/>
          <w:szCs w:val="24"/>
        </w:rPr>
        <w:t xml:space="preserve"> </w:t>
      </w:r>
    </w:p>
    <w:p w14:paraId="3C39F5B0" w14:textId="77777777" w:rsidR="008A1378" w:rsidRDefault="008A1378" w:rsidP="008A1378">
      <w:pPr>
        <w:numPr>
          <w:ilvl w:val="0"/>
          <w:numId w:val="3"/>
        </w:numPr>
        <w:spacing w:after="0" w:line="312" w:lineRule="auto"/>
        <w:jc w:val="both"/>
        <w:rPr>
          <w:color w:val="000000"/>
          <w:sz w:val="24"/>
          <w:szCs w:val="24"/>
        </w:rPr>
      </w:pPr>
      <w:r w:rsidRPr="007455B5">
        <w:rPr>
          <w:sz w:val="24"/>
          <w:szCs w:val="24"/>
        </w:rPr>
        <w:t>Απαγόρ</w:t>
      </w:r>
      <w:r>
        <w:rPr>
          <w:sz w:val="24"/>
          <w:szCs w:val="24"/>
        </w:rPr>
        <w:t xml:space="preserve">ευση εμπορικής χρήσης του έργου- </w:t>
      </w:r>
      <w:r w:rsidRPr="007455B5">
        <w:rPr>
          <w:sz w:val="24"/>
          <w:szCs w:val="24"/>
        </w:rPr>
        <w:t>Σε αυτή την περίπτωση η χρήση του έργου με εμπορικό σκοπό απαγορεύεται.</w:t>
      </w:r>
    </w:p>
    <w:p w14:paraId="16933C81" w14:textId="77777777" w:rsidR="008A1378" w:rsidRPr="007455B5" w:rsidRDefault="008A1378" w:rsidP="008A1378">
      <w:pPr>
        <w:numPr>
          <w:ilvl w:val="0"/>
          <w:numId w:val="3"/>
        </w:numPr>
        <w:spacing w:after="0" w:line="312" w:lineRule="auto"/>
        <w:jc w:val="both"/>
        <w:rPr>
          <w:sz w:val="24"/>
          <w:szCs w:val="24"/>
        </w:rPr>
      </w:pPr>
      <w:r w:rsidRPr="007455B5">
        <w:rPr>
          <w:sz w:val="24"/>
          <w:szCs w:val="24"/>
        </w:rPr>
        <w:t xml:space="preserve">Διανομή του παράγωγου έργου με τους όρους </w:t>
      </w:r>
      <w:r>
        <w:rPr>
          <w:sz w:val="24"/>
          <w:szCs w:val="24"/>
        </w:rPr>
        <w:t xml:space="preserve">της </w:t>
      </w:r>
      <w:r w:rsidRPr="007455B5">
        <w:rPr>
          <w:sz w:val="24"/>
          <w:szCs w:val="24"/>
        </w:rPr>
        <w:t>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4D9644D8" w14:textId="77777777" w:rsidR="006056A2" w:rsidRPr="008A1378" w:rsidRDefault="006056A2" w:rsidP="00021C78">
      <w:pPr>
        <w:spacing w:line="360" w:lineRule="auto"/>
        <w:rPr>
          <w:sz w:val="24"/>
          <w:szCs w:val="24"/>
        </w:rPr>
      </w:pPr>
    </w:p>
    <w:p w14:paraId="18DBF394" w14:textId="77777777" w:rsidR="006056A2" w:rsidRPr="008A1378" w:rsidRDefault="006056A2" w:rsidP="006056A2">
      <w:pPr>
        <w:spacing w:line="240" w:lineRule="auto"/>
        <w:rPr>
          <w:sz w:val="24"/>
          <w:szCs w:val="24"/>
        </w:rPr>
      </w:pPr>
    </w:p>
    <w:p w14:paraId="491C37D4" w14:textId="77777777" w:rsidR="006056A2" w:rsidRPr="008A1378" w:rsidRDefault="006056A2" w:rsidP="006056A2">
      <w:pPr>
        <w:jc w:val="center"/>
        <w:rPr>
          <w:sz w:val="24"/>
          <w:szCs w:val="24"/>
        </w:rPr>
      </w:pPr>
    </w:p>
    <w:p w14:paraId="00AE784D" w14:textId="77777777" w:rsidR="00AB4DA4" w:rsidRPr="008A1378" w:rsidRDefault="00AB4DA4" w:rsidP="00DE1011">
      <w:pPr>
        <w:spacing w:line="360" w:lineRule="auto"/>
        <w:jc w:val="both"/>
        <w:rPr>
          <w:b/>
          <w:bCs/>
          <w:sz w:val="24"/>
          <w:szCs w:val="24"/>
        </w:rPr>
      </w:pPr>
    </w:p>
    <w:p w14:paraId="6E560984" w14:textId="77777777" w:rsidR="00793F41" w:rsidRPr="008A1378" w:rsidRDefault="00793F41" w:rsidP="00DE1011">
      <w:pPr>
        <w:spacing w:line="360" w:lineRule="auto"/>
        <w:jc w:val="both"/>
        <w:rPr>
          <w:b/>
          <w:bCs/>
          <w:sz w:val="24"/>
          <w:szCs w:val="24"/>
        </w:rPr>
      </w:pPr>
    </w:p>
    <w:p w14:paraId="2C1AC01D" w14:textId="77777777" w:rsidR="00793F41" w:rsidRPr="008A1378" w:rsidRDefault="00793F41" w:rsidP="00DE1011">
      <w:pPr>
        <w:spacing w:line="360" w:lineRule="auto"/>
        <w:jc w:val="both"/>
        <w:rPr>
          <w:b/>
          <w:bCs/>
          <w:sz w:val="24"/>
          <w:szCs w:val="24"/>
        </w:rPr>
      </w:pPr>
    </w:p>
    <w:p w14:paraId="1CE9312C" w14:textId="77777777" w:rsidR="00793F41" w:rsidRPr="008A1378" w:rsidRDefault="00793F41" w:rsidP="00DE1011">
      <w:pPr>
        <w:spacing w:line="360" w:lineRule="auto"/>
        <w:jc w:val="both"/>
        <w:rPr>
          <w:b/>
          <w:bCs/>
          <w:sz w:val="24"/>
          <w:szCs w:val="24"/>
        </w:rPr>
      </w:pPr>
    </w:p>
    <w:p w14:paraId="3C27DA47" w14:textId="77777777" w:rsidR="00793F41" w:rsidRPr="008A1378" w:rsidRDefault="00793F41" w:rsidP="00DE1011">
      <w:pPr>
        <w:spacing w:line="360" w:lineRule="auto"/>
        <w:jc w:val="both"/>
        <w:rPr>
          <w:b/>
          <w:bCs/>
          <w:sz w:val="24"/>
          <w:szCs w:val="24"/>
        </w:rPr>
      </w:pPr>
    </w:p>
    <w:p w14:paraId="3B9D355A" w14:textId="77777777" w:rsidR="00793F41" w:rsidRPr="008A1378" w:rsidRDefault="00793F41" w:rsidP="00DE1011">
      <w:pPr>
        <w:spacing w:line="360" w:lineRule="auto"/>
        <w:jc w:val="both"/>
        <w:rPr>
          <w:b/>
          <w:bCs/>
          <w:sz w:val="24"/>
          <w:szCs w:val="24"/>
        </w:rPr>
      </w:pPr>
    </w:p>
    <w:p w14:paraId="108AEFEA" w14:textId="04FB1B42" w:rsidR="00793F41" w:rsidRPr="008A1378" w:rsidRDefault="008A1378" w:rsidP="008603ED">
      <w:pPr>
        <w:keepNext/>
        <w:keepLines/>
        <w:pBdr>
          <w:top w:val="nil"/>
          <w:left w:val="nil"/>
          <w:bottom w:val="nil"/>
          <w:right w:val="nil"/>
          <w:between w:val="nil"/>
        </w:pBdr>
        <w:spacing w:before="240" w:after="0" w:line="360" w:lineRule="auto"/>
        <w:jc w:val="both"/>
        <w:rPr>
          <w:b/>
          <w:color w:val="000000"/>
          <w:sz w:val="24"/>
          <w:szCs w:val="24"/>
        </w:rPr>
      </w:pPr>
      <w:r>
        <w:rPr>
          <w:b/>
          <w:color w:val="000000"/>
          <w:sz w:val="24"/>
          <w:szCs w:val="24"/>
        </w:rPr>
        <w:t>Περιεχόμενα</w:t>
      </w:r>
    </w:p>
    <w:sdt>
      <w:sdtPr>
        <w:id w:val="-1141566009"/>
        <w:docPartObj>
          <w:docPartGallery w:val="Table of Contents"/>
          <w:docPartUnique/>
        </w:docPartObj>
      </w:sdtPr>
      <w:sdtEndPr/>
      <w:sdtContent>
        <w:p w14:paraId="40D2C1CA" w14:textId="27EF4D9B" w:rsidR="008011E2" w:rsidRDefault="00793F41">
          <w:pPr>
            <w:pStyle w:val="10"/>
            <w:tabs>
              <w:tab w:val="right" w:pos="8296"/>
            </w:tabs>
            <w:rPr>
              <w:rFonts w:eastAsiaTheme="minorEastAsia"/>
              <w:noProof/>
              <w:lang w:eastAsia="el-GR" w:bidi="ar-SA"/>
            </w:rPr>
          </w:pPr>
          <w:r>
            <w:fldChar w:fldCharType="begin"/>
          </w:r>
          <w:r>
            <w:instrText xml:space="preserve"> TOC \h \u \z </w:instrText>
          </w:r>
          <w:r>
            <w:fldChar w:fldCharType="separate"/>
          </w:r>
          <w:hyperlink w:anchor="_Toc108446572" w:history="1">
            <w:r w:rsidR="008011E2" w:rsidRPr="00127535">
              <w:rPr>
                <w:rStyle w:val="-"/>
                <w:noProof/>
                <w:lang w:eastAsia="en-GB"/>
              </w:rPr>
              <w:t>Εισαγωγή</w:t>
            </w:r>
            <w:r w:rsidR="008011E2">
              <w:rPr>
                <w:noProof/>
                <w:webHidden/>
              </w:rPr>
              <w:tab/>
            </w:r>
            <w:r w:rsidR="008011E2">
              <w:rPr>
                <w:noProof/>
                <w:webHidden/>
              </w:rPr>
              <w:fldChar w:fldCharType="begin"/>
            </w:r>
            <w:r w:rsidR="008011E2">
              <w:rPr>
                <w:noProof/>
                <w:webHidden/>
              </w:rPr>
              <w:instrText xml:space="preserve"> PAGEREF _Toc108446572 \h </w:instrText>
            </w:r>
            <w:r w:rsidR="008011E2">
              <w:rPr>
                <w:noProof/>
                <w:webHidden/>
              </w:rPr>
            </w:r>
            <w:r w:rsidR="008011E2">
              <w:rPr>
                <w:noProof/>
                <w:webHidden/>
              </w:rPr>
              <w:fldChar w:fldCharType="separate"/>
            </w:r>
            <w:r w:rsidR="00447DA5">
              <w:rPr>
                <w:noProof/>
                <w:webHidden/>
              </w:rPr>
              <w:t>1</w:t>
            </w:r>
            <w:r w:rsidR="008011E2">
              <w:rPr>
                <w:noProof/>
                <w:webHidden/>
              </w:rPr>
              <w:fldChar w:fldCharType="end"/>
            </w:r>
          </w:hyperlink>
        </w:p>
        <w:p w14:paraId="70612F55" w14:textId="18C8A0CA" w:rsidR="008011E2" w:rsidRDefault="00447DA5">
          <w:pPr>
            <w:pStyle w:val="10"/>
            <w:tabs>
              <w:tab w:val="left" w:pos="660"/>
              <w:tab w:val="right" w:pos="8296"/>
            </w:tabs>
            <w:rPr>
              <w:rFonts w:eastAsiaTheme="minorEastAsia"/>
              <w:noProof/>
              <w:lang w:eastAsia="el-GR" w:bidi="ar-SA"/>
            </w:rPr>
          </w:pPr>
          <w:hyperlink w:anchor="_Toc108446573" w:history="1">
            <w:r w:rsidR="008011E2" w:rsidRPr="00127535">
              <w:rPr>
                <w:rStyle w:val="-"/>
                <w:noProof/>
                <w:lang w:eastAsia="en-GB"/>
              </w:rPr>
              <w:t>2.1</w:t>
            </w:r>
            <w:r w:rsidR="008011E2">
              <w:rPr>
                <w:rFonts w:eastAsiaTheme="minorEastAsia"/>
                <w:noProof/>
                <w:lang w:eastAsia="el-GR" w:bidi="ar-SA"/>
              </w:rPr>
              <w:tab/>
            </w:r>
            <w:r w:rsidR="008011E2" w:rsidRPr="00127535">
              <w:rPr>
                <w:rStyle w:val="-"/>
                <w:noProof/>
                <w:lang w:eastAsia="en-GB"/>
              </w:rPr>
              <w:t>Εισαγωγή</w:t>
            </w:r>
            <w:r w:rsidR="008011E2">
              <w:rPr>
                <w:noProof/>
                <w:webHidden/>
              </w:rPr>
              <w:tab/>
            </w:r>
            <w:r w:rsidR="008011E2">
              <w:rPr>
                <w:noProof/>
                <w:webHidden/>
              </w:rPr>
              <w:fldChar w:fldCharType="begin"/>
            </w:r>
            <w:r w:rsidR="008011E2">
              <w:rPr>
                <w:noProof/>
                <w:webHidden/>
              </w:rPr>
              <w:instrText xml:space="preserve"> PAGEREF _Toc108446573 \h </w:instrText>
            </w:r>
            <w:r w:rsidR="008011E2">
              <w:rPr>
                <w:noProof/>
                <w:webHidden/>
              </w:rPr>
            </w:r>
            <w:r w:rsidR="008011E2">
              <w:rPr>
                <w:noProof/>
                <w:webHidden/>
              </w:rPr>
              <w:fldChar w:fldCharType="separate"/>
            </w:r>
            <w:r>
              <w:rPr>
                <w:noProof/>
                <w:webHidden/>
              </w:rPr>
              <w:t>2</w:t>
            </w:r>
            <w:r w:rsidR="008011E2">
              <w:rPr>
                <w:noProof/>
                <w:webHidden/>
              </w:rPr>
              <w:fldChar w:fldCharType="end"/>
            </w:r>
          </w:hyperlink>
        </w:p>
        <w:p w14:paraId="5B61BE9F" w14:textId="4EFD390F" w:rsidR="008011E2" w:rsidRDefault="00447DA5">
          <w:pPr>
            <w:pStyle w:val="10"/>
            <w:tabs>
              <w:tab w:val="left" w:pos="660"/>
              <w:tab w:val="right" w:pos="8296"/>
            </w:tabs>
            <w:rPr>
              <w:rFonts w:eastAsiaTheme="minorEastAsia"/>
              <w:noProof/>
              <w:lang w:eastAsia="el-GR" w:bidi="ar-SA"/>
            </w:rPr>
          </w:pPr>
          <w:hyperlink w:anchor="_Toc108446574" w:history="1">
            <w:r w:rsidR="008011E2" w:rsidRPr="00127535">
              <w:rPr>
                <w:rStyle w:val="-"/>
                <w:noProof/>
                <w:lang w:eastAsia="en-GB"/>
              </w:rPr>
              <w:t>2.2</w:t>
            </w:r>
            <w:r w:rsidR="008011E2">
              <w:rPr>
                <w:rFonts w:eastAsiaTheme="minorEastAsia"/>
                <w:noProof/>
                <w:lang w:eastAsia="el-GR" w:bidi="ar-SA"/>
              </w:rPr>
              <w:tab/>
            </w:r>
            <w:r w:rsidR="008011E2" w:rsidRPr="00127535">
              <w:rPr>
                <w:rStyle w:val="-"/>
                <w:noProof/>
                <w:lang w:eastAsia="en-GB"/>
              </w:rPr>
              <w:t>Παράγοντες κινδύνου και θέματα υγείας ανάλογα με το στάδιο μετανάστευσης.</w:t>
            </w:r>
            <w:r w:rsidR="008011E2">
              <w:rPr>
                <w:noProof/>
                <w:webHidden/>
              </w:rPr>
              <w:tab/>
            </w:r>
            <w:r w:rsidR="008011E2">
              <w:rPr>
                <w:noProof/>
                <w:webHidden/>
              </w:rPr>
              <w:fldChar w:fldCharType="begin"/>
            </w:r>
            <w:r w:rsidR="008011E2">
              <w:rPr>
                <w:noProof/>
                <w:webHidden/>
              </w:rPr>
              <w:instrText xml:space="preserve"> PAGEREF _Toc108446574 \h </w:instrText>
            </w:r>
            <w:r w:rsidR="008011E2">
              <w:rPr>
                <w:noProof/>
                <w:webHidden/>
              </w:rPr>
            </w:r>
            <w:r w:rsidR="008011E2">
              <w:rPr>
                <w:noProof/>
                <w:webHidden/>
              </w:rPr>
              <w:fldChar w:fldCharType="separate"/>
            </w:r>
            <w:r>
              <w:rPr>
                <w:noProof/>
                <w:webHidden/>
              </w:rPr>
              <w:t>3</w:t>
            </w:r>
            <w:r w:rsidR="008011E2">
              <w:rPr>
                <w:noProof/>
                <w:webHidden/>
              </w:rPr>
              <w:fldChar w:fldCharType="end"/>
            </w:r>
          </w:hyperlink>
        </w:p>
        <w:p w14:paraId="4FDAC56F" w14:textId="2B9B4548" w:rsidR="008011E2" w:rsidRDefault="00447DA5">
          <w:pPr>
            <w:pStyle w:val="10"/>
            <w:tabs>
              <w:tab w:val="left" w:pos="660"/>
              <w:tab w:val="right" w:pos="8296"/>
            </w:tabs>
            <w:rPr>
              <w:rFonts w:eastAsiaTheme="minorEastAsia"/>
              <w:noProof/>
              <w:lang w:eastAsia="el-GR" w:bidi="ar-SA"/>
            </w:rPr>
          </w:pPr>
          <w:hyperlink w:anchor="_Toc108446575" w:history="1">
            <w:r w:rsidR="008011E2" w:rsidRPr="00127535">
              <w:rPr>
                <w:rStyle w:val="-"/>
                <w:noProof/>
                <w:lang w:eastAsia="en-GB"/>
              </w:rPr>
              <w:t>2.3</w:t>
            </w:r>
            <w:r w:rsidR="008011E2">
              <w:rPr>
                <w:rFonts w:eastAsiaTheme="minorEastAsia"/>
                <w:noProof/>
                <w:lang w:eastAsia="el-GR" w:bidi="ar-SA"/>
              </w:rPr>
              <w:tab/>
            </w:r>
            <w:r w:rsidR="008011E2" w:rsidRPr="00127535">
              <w:rPr>
                <w:rStyle w:val="-"/>
                <w:noProof/>
                <w:lang w:eastAsia="en-GB"/>
              </w:rPr>
              <w:t>Διερευνώντας την φυσική και ψυχική υγεία των μεταναστών</w:t>
            </w:r>
            <w:r w:rsidR="008011E2">
              <w:rPr>
                <w:noProof/>
                <w:webHidden/>
              </w:rPr>
              <w:tab/>
            </w:r>
            <w:r w:rsidR="008011E2">
              <w:rPr>
                <w:noProof/>
                <w:webHidden/>
              </w:rPr>
              <w:fldChar w:fldCharType="begin"/>
            </w:r>
            <w:r w:rsidR="008011E2">
              <w:rPr>
                <w:noProof/>
                <w:webHidden/>
              </w:rPr>
              <w:instrText xml:space="preserve"> PAGEREF _Toc108446575 \h </w:instrText>
            </w:r>
            <w:r w:rsidR="008011E2">
              <w:rPr>
                <w:noProof/>
                <w:webHidden/>
              </w:rPr>
            </w:r>
            <w:r w:rsidR="008011E2">
              <w:rPr>
                <w:noProof/>
                <w:webHidden/>
              </w:rPr>
              <w:fldChar w:fldCharType="separate"/>
            </w:r>
            <w:r>
              <w:rPr>
                <w:noProof/>
                <w:webHidden/>
              </w:rPr>
              <w:t>4</w:t>
            </w:r>
            <w:r w:rsidR="008011E2">
              <w:rPr>
                <w:noProof/>
                <w:webHidden/>
              </w:rPr>
              <w:fldChar w:fldCharType="end"/>
            </w:r>
          </w:hyperlink>
        </w:p>
        <w:p w14:paraId="16D50DD7" w14:textId="4C62C880" w:rsidR="008011E2" w:rsidRDefault="00447DA5">
          <w:pPr>
            <w:pStyle w:val="10"/>
            <w:tabs>
              <w:tab w:val="left" w:pos="660"/>
              <w:tab w:val="right" w:pos="8296"/>
            </w:tabs>
            <w:rPr>
              <w:rFonts w:eastAsiaTheme="minorEastAsia"/>
              <w:noProof/>
              <w:lang w:eastAsia="el-GR" w:bidi="ar-SA"/>
            </w:rPr>
          </w:pPr>
          <w:hyperlink w:anchor="_Toc108446576" w:history="1">
            <w:r w:rsidR="008011E2" w:rsidRPr="00127535">
              <w:rPr>
                <w:rStyle w:val="-"/>
                <w:noProof/>
                <w:lang w:eastAsia="en-GB"/>
              </w:rPr>
              <w:t>2.4</w:t>
            </w:r>
            <w:r w:rsidR="008011E2">
              <w:rPr>
                <w:rFonts w:eastAsiaTheme="minorEastAsia"/>
                <w:noProof/>
                <w:lang w:eastAsia="el-GR" w:bidi="ar-SA"/>
              </w:rPr>
              <w:tab/>
            </w:r>
            <w:r w:rsidR="008011E2" w:rsidRPr="00127535">
              <w:rPr>
                <w:rStyle w:val="-"/>
                <w:noProof/>
                <w:lang w:eastAsia="en-GB"/>
              </w:rPr>
              <w:t>Στρατηγικές πρόληψης</w:t>
            </w:r>
            <w:r w:rsidR="008011E2">
              <w:rPr>
                <w:noProof/>
                <w:webHidden/>
              </w:rPr>
              <w:tab/>
            </w:r>
            <w:r w:rsidR="008011E2">
              <w:rPr>
                <w:noProof/>
                <w:webHidden/>
              </w:rPr>
              <w:fldChar w:fldCharType="begin"/>
            </w:r>
            <w:r w:rsidR="008011E2">
              <w:rPr>
                <w:noProof/>
                <w:webHidden/>
              </w:rPr>
              <w:instrText xml:space="preserve"> PAGEREF _Toc108446576 \h </w:instrText>
            </w:r>
            <w:r w:rsidR="008011E2">
              <w:rPr>
                <w:noProof/>
                <w:webHidden/>
              </w:rPr>
            </w:r>
            <w:r w:rsidR="008011E2">
              <w:rPr>
                <w:noProof/>
                <w:webHidden/>
              </w:rPr>
              <w:fldChar w:fldCharType="separate"/>
            </w:r>
            <w:r>
              <w:rPr>
                <w:noProof/>
                <w:webHidden/>
              </w:rPr>
              <w:t>6</w:t>
            </w:r>
            <w:r w:rsidR="008011E2">
              <w:rPr>
                <w:noProof/>
                <w:webHidden/>
              </w:rPr>
              <w:fldChar w:fldCharType="end"/>
            </w:r>
          </w:hyperlink>
        </w:p>
        <w:p w14:paraId="0680B4C5" w14:textId="5879B060" w:rsidR="008011E2" w:rsidRDefault="00447DA5">
          <w:pPr>
            <w:pStyle w:val="10"/>
            <w:tabs>
              <w:tab w:val="right" w:pos="8296"/>
            </w:tabs>
            <w:rPr>
              <w:rFonts w:eastAsiaTheme="minorEastAsia"/>
              <w:noProof/>
              <w:lang w:eastAsia="el-GR" w:bidi="ar-SA"/>
            </w:rPr>
          </w:pPr>
          <w:hyperlink w:anchor="_Toc108446577" w:history="1">
            <w:r w:rsidR="008011E2" w:rsidRPr="00127535">
              <w:rPr>
                <w:rStyle w:val="-"/>
                <w:noProof/>
                <w:lang w:eastAsia="en-GB"/>
              </w:rPr>
              <w:t>2.5 Βιβλιογραφία</w:t>
            </w:r>
            <w:r w:rsidR="008011E2">
              <w:rPr>
                <w:noProof/>
                <w:webHidden/>
              </w:rPr>
              <w:tab/>
            </w:r>
            <w:r w:rsidR="008011E2">
              <w:rPr>
                <w:noProof/>
                <w:webHidden/>
              </w:rPr>
              <w:fldChar w:fldCharType="begin"/>
            </w:r>
            <w:r w:rsidR="008011E2">
              <w:rPr>
                <w:noProof/>
                <w:webHidden/>
              </w:rPr>
              <w:instrText xml:space="preserve"> PAGEREF _Toc108446577 \h </w:instrText>
            </w:r>
            <w:r w:rsidR="008011E2">
              <w:rPr>
                <w:noProof/>
                <w:webHidden/>
              </w:rPr>
            </w:r>
            <w:r w:rsidR="008011E2">
              <w:rPr>
                <w:noProof/>
                <w:webHidden/>
              </w:rPr>
              <w:fldChar w:fldCharType="separate"/>
            </w:r>
            <w:r>
              <w:rPr>
                <w:noProof/>
                <w:webHidden/>
              </w:rPr>
              <w:t>7</w:t>
            </w:r>
            <w:r w:rsidR="008011E2">
              <w:rPr>
                <w:noProof/>
                <w:webHidden/>
              </w:rPr>
              <w:fldChar w:fldCharType="end"/>
            </w:r>
          </w:hyperlink>
        </w:p>
        <w:p w14:paraId="3EC0F7A7" w14:textId="77777777" w:rsidR="00793F41" w:rsidRDefault="00793F41" w:rsidP="008603ED">
          <w:pPr>
            <w:spacing w:line="360" w:lineRule="auto"/>
            <w:jc w:val="both"/>
          </w:pPr>
          <w:r>
            <w:fldChar w:fldCharType="end"/>
          </w:r>
        </w:p>
      </w:sdtContent>
    </w:sdt>
    <w:p w14:paraId="7491FC69" w14:textId="77777777" w:rsidR="00A75F80" w:rsidRDefault="00793F41" w:rsidP="00793F41">
      <w:pPr>
        <w:sectPr w:rsidR="00A75F80" w:rsidSect="0048005B">
          <w:headerReference w:type="default" r:id="rId22"/>
          <w:pgSz w:w="11906" w:h="16838"/>
          <w:pgMar w:top="1440" w:right="1800" w:bottom="1440" w:left="1800" w:header="708" w:footer="708" w:gutter="0"/>
          <w:cols w:space="708"/>
          <w:titlePg/>
          <w:docGrid w:linePitch="360"/>
        </w:sectPr>
      </w:pPr>
      <w:r>
        <w:br w:type="page"/>
      </w:r>
    </w:p>
    <w:p w14:paraId="0BE99B83" w14:textId="77777777" w:rsidR="00793F41" w:rsidRDefault="00793F41" w:rsidP="00793F41">
      <w:pPr>
        <w:rPr>
          <w:sz w:val="24"/>
          <w:szCs w:val="24"/>
        </w:rPr>
      </w:pPr>
    </w:p>
    <w:p w14:paraId="264743F5" w14:textId="6DFF7D41" w:rsidR="00212AD6" w:rsidRPr="008A1378" w:rsidRDefault="00771E2C" w:rsidP="008A1378">
      <w:pPr>
        <w:pStyle w:val="1"/>
        <w:rPr>
          <w:sz w:val="28"/>
          <w:szCs w:val="28"/>
          <w:lang w:val="el-GR" w:eastAsia="en-GB"/>
        </w:rPr>
      </w:pPr>
      <w:bookmarkStart w:id="2" w:name="_Toc108446572"/>
      <w:r w:rsidRPr="008A1378">
        <w:rPr>
          <w:sz w:val="28"/>
          <w:szCs w:val="28"/>
          <w:lang w:val="el-GR" w:eastAsia="en-GB"/>
        </w:rPr>
        <w:t>Εισαγωγή</w:t>
      </w:r>
      <w:bookmarkEnd w:id="2"/>
    </w:p>
    <w:p w14:paraId="78A56173" w14:textId="77777777" w:rsidR="008A1378" w:rsidRPr="00FA51F4" w:rsidRDefault="008A1378" w:rsidP="008A1378">
      <w:pPr>
        <w:spacing w:line="360" w:lineRule="auto"/>
        <w:jc w:val="both"/>
        <w:rPr>
          <w:sz w:val="24"/>
          <w:szCs w:val="24"/>
        </w:rPr>
      </w:pPr>
      <w:r>
        <w:rPr>
          <w:sz w:val="24"/>
          <w:szCs w:val="24"/>
        </w:rPr>
        <w:t xml:space="preserve">Το παρακάτω εγχειρίδιο έχει αναπτυχθεί στο πλαίσιο του </w:t>
      </w:r>
      <w:r w:rsidRPr="008A1378">
        <w:rPr>
          <w:sz w:val="24"/>
          <w:szCs w:val="24"/>
        </w:rPr>
        <w:t>IO</w:t>
      </w:r>
      <w:r>
        <w:rPr>
          <w:sz w:val="24"/>
          <w:szCs w:val="24"/>
        </w:rPr>
        <w:t>2 του προγράμματος MIG</w:t>
      </w:r>
      <w:r w:rsidRPr="00FA51F4">
        <w:rPr>
          <w:sz w:val="24"/>
          <w:szCs w:val="24"/>
        </w:rPr>
        <w:t>-</w:t>
      </w:r>
      <w:r>
        <w:rPr>
          <w:sz w:val="24"/>
          <w:szCs w:val="24"/>
        </w:rPr>
        <w:t>DHL</w:t>
      </w:r>
      <w:r w:rsidRPr="00FA51F4">
        <w:rPr>
          <w:sz w:val="24"/>
          <w:szCs w:val="24"/>
        </w:rPr>
        <w:t>.</w:t>
      </w:r>
      <w:r>
        <w:rPr>
          <w:sz w:val="24"/>
          <w:szCs w:val="24"/>
        </w:rPr>
        <w:t xml:space="preserve"> Αυτό το εγχειρίδιο καλύπτει τις έξι ενότητες που αναπτύχθηκαν κατά τη διάρκεια του προγράμματος MIG</w:t>
      </w:r>
      <w:r w:rsidRPr="00FA51F4">
        <w:rPr>
          <w:sz w:val="24"/>
          <w:szCs w:val="24"/>
        </w:rPr>
        <w:t>-</w:t>
      </w:r>
      <w:r>
        <w:rPr>
          <w:sz w:val="24"/>
          <w:szCs w:val="24"/>
        </w:rPr>
        <w:t>DHL</w:t>
      </w:r>
      <w:r w:rsidRPr="00FA51F4">
        <w:rPr>
          <w:sz w:val="24"/>
          <w:szCs w:val="24"/>
        </w:rPr>
        <w:t>:</w:t>
      </w:r>
    </w:p>
    <w:p w14:paraId="7B987860" w14:textId="77777777" w:rsidR="008A1378" w:rsidRDefault="008A1378" w:rsidP="008A1378">
      <w:pPr>
        <w:numPr>
          <w:ilvl w:val="0"/>
          <w:numId w:val="4"/>
        </w:numPr>
        <w:pBdr>
          <w:top w:val="nil"/>
          <w:left w:val="nil"/>
          <w:bottom w:val="nil"/>
          <w:right w:val="nil"/>
          <w:between w:val="nil"/>
        </w:pBdr>
        <w:spacing w:after="0" w:line="360" w:lineRule="auto"/>
        <w:jc w:val="both"/>
        <w:rPr>
          <w:color w:val="000000"/>
          <w:sz w:val="24"/>
          <w:szCs w:val="24"/>
        </w:rPr>
      </w:pPr>
      <w:proofErr w:type="spellStart"/>
      <w:r w:rsidRPr="002D4C68">
        <w:rPr>
          <w:color w:val="000000"/>
          <w:sz w:val="24"/>
          <w:szCs w:val="24"/>
          <w:lang w:val="de-DE"/>
        </w:rPr>
        <w:t>Τι</w:t>
      </w:r>
      <w:proofErr w:type="spellEnd"/>
      <w:r w:rsidRPr="002D4C68">
        <w:rPr>
          <w:color w:val="000000"/>
          <w:sz w:val="24"/>
          <w:szCs w:val="24"/>
          <w:lang w:val="de-DE"/>
        </w:rPr>
        <w:t xml:space="preserve"> είναι ο </w:t>
      </w:r>
      <w:proofErr w:type="spellStart"/>
      <w:r w:rsidRPr="002D4C68">
        <w:rPr>
          <w:color w:val="000000"/>
          <w:sz w:val="24"/>
          <w:szCs w:val="24"/>
          <w:lang w:val="de-DE"/>
        </w:rPr>
        <w:t>ψηφι</w:t>
      </w:r>
      <w:proofErr w:type="spellEnd"/>
      <w:r w:rsidRPr="002D4C68">
        <w:rPr>
          <w:color w:val="000000"/>
          <w:sz w:val="24"/>
          <w:szCs w:val="24"/>
          <w:lang w:val="de-DE"/>
        </w:rPr>
        <w:t>ακός α</w:t>
      </w:r>
      <w:proofErr w:type="spellStart"/>
      <w:r w:rsidRPr="002D4C68">
        <w:rPr>
          <w:color w:val="000000"/>
          <w:sz w:val="24"/>
          <w:szCs w:val="24"/>
          <w:lang w:val="de-DE"/>
        </w:rPr>
        <w:t>λφ</w:t>
      </w:r>
      <w:proofErr w:type="spellEnd"/>
      <w:r w:rsidRPr="002D4C68">
        <w:rPr>
          <w:color w:val="000000"/>
          <w:sz w:val="24"/>
          <w:szCs w:val="24"/>
          <w:lang w:val="de-DE"/>
        </w:rPr>
        <w:t>αβητισμός</w:t>
      </w:r>
      <w:r w:rsidRPr="002D4C68">
        <w:rPr>
          <w:color w:val="000000"/>
          <w:sz w:val="24"/>
          <w:szCs w:val="24"/>
        </w:rPr>
        <w:t xml:space="preserve"> για την υγεία</w:t>
      </w:r>
      <w:r w:rsidRPr="002D4C68">
        <w:rPr>
          <w:color w:val="000000"/>
          <w:sz w:val="24"/>
          <w:szCs w:val="24"/>
          <w:lang w:val="de-DE"/>
        </w:rPr>
        <w:t xml:space="preserve"> και π</w:t>
      </w:r>
      <w:proofErr w:type="spellStart"/>
      <w:r w:rsidRPr="002D4C68">
        <w:rPr>
          <w:color w:val="000000"/>
          <w:sz w:val="24"/>
          <w:szCs w:val="24"/>
          <w:lang w:val="de-DE"/>
        </w:rPr>
        <w:t>οι</w:t>
      </w:r>
      <w:proofErr w:type="spellEnd"/>
      <w:r w:rsidRPr="002D4C68">
        <w:rPr>
          <w:color w:val="000000"/>
          <w:sz w:val="24"/>
          <w:szCs w:val="24"/>
          <w:lang w:val="de-DE"/>
        </w:rPr>
        <w:t xml:space="preserve">α η </w:t>
      </w:r>
      <w:proofErr w:type="spellStart"/>
      <w:r w:rsidRPr="002D4C68">
        <w:rPr>
          <w:color w:val="000000"/>
          <w:sz w:val="24"/>
          <w:szCs w:val="24"/>
          <w:lang w:val="de-DE"/>
        </w:rPr>
        <w:t>σημ</w:t>
      </w:r>
      <w:proofErr w:type="spellEnd"/>
      <w:r w:rsidRPr="002D4C68">
        <w:rPr>
          <w:color w:val="000000"/>
          <w:sz w:val="24"/>
          <w:szCs w:val="24"/>
          <w:lang w:val="de-DE"/>
        </w:rPr>
        <w:t xml:space="preserve">ασία </w:t>
      </w:r>
      <w:proofErr w:type="spellStart"/>
      <w:r w:rsidRPr="002D4C68">
        <w:rPr>
          <w:color w:val="000000"/>
          <w:sz w:val="24"/>
          <w:szCs w:val="24"/>
          <w:lang w:val="de-DE"/>
        </w:rPr>
        <w:t>του</w:t>
      </w:r>
      <w:proofErr w:type="spellEnd"/>
      <w:r>
        <w:rPr>
          <w:color w:val="000000"/>
          <w:sz w:val="24"/>
          <w:szCs w:val="24"/>
        </w:rPr>
        <w:t>;</w:t>
      </w:r>
      <w:r w:rsidRPr="002D4C68">
        <w:rPr>
          <w:color w:val="000000"/>
          <w:sz w:val="24"/>
          <w:szCs w:val="24"/>
          <w:lang w:val="de-DE"/>
        </w:rPr>
        <w:t xml:space="preserve"> </w:t>
      </w:r>
    </w:p>
    <w:p w14:paraId="234F07F8" w14:textId="77777777" w:rsidR="008A1378" w:rsidRPr="008A1378" w:rsidRDefault="008A1378" w:rsidP="008A1378">
      <w:pPr>
        <w:numPr>
          <w:ilvl w:val="0"/>
          <w:numId w:val="4"/>
        </w:numPr>
        <w:pBdr>
          <w:top w:val="nil"/>
          <w:left w:val="nil"/>
          <w:bottom w:val="nil"/>
          <w:right w:val="nil"/>
          <w:between w:val="nil"/>
        </w:pBdr>
        <w:spacing w:after="0" w:line="360" w:lineRule="auto"/>
        <w:jc w:val="both"/>
        <w:rPr>
          <w:b/>
          <w:color w:val="000000"/>
          <w:sz w:val="24"/>
          <w:szCs w:val="24"/>
        </w:rPr>
      </w:pPr>
      <w:r w:rsidRPr="008A1378">
        <w:rPr>
          <w:b/>
          <w:color w:val="000000"/>
          <w:sz w:val="24"/>
          <w:szCs w:val="24"/>
        </w:rPr>
        <w:t>Κύρια προβλήματα υγείας κατά την άφιξη σε μία νέα χώρα</w:t>
      </w:r>
    </w:p>
    <w:p w14:paraId="29F169C5" w14:textId="77777777" w:rsidR="008A1378" w:rsidRPr="008A1378" w:rsidRDefault="008A1378" w:rsidP="008A1378">
      <w:pPr>
        <w:numPr>
          <w:ilvl w:val="0"/>
          <w:numId w:val="4"/>
        </w:numPr>
        <w:pBdr>
          <w:top w:val="nil"/>
          <w:left w:val="nil"/>
          <w:bottom w:val="nil"/>
          <w:right w:val="nil"/>
          <w:between w:val="nil"/>
        </w:pBdr>
        <w:spacing w:after="0" w:line="360" w:lineRule="auto"/>
        <w:jc w:val="both"/>
        <w:rPr>
          <w:bCs/>
          <w:color w:val="000000"/>
          <w:sz w:val="24"/>
          <w:szCs w:val="24"/>
        </w:rPr>
      </w:pPr>
      <w:r w:rsidRPr="008A1378">
        <w:rPr>
          <w:bCs/>
          <w:color w:val="000000"/>
          <w:sz w:val="24"/>
          <w:szCs w:val="24"/>
        </w:rPr>
        <w:t>Υπηρεσίες Υγειονομικής Περίθαλψης</w:t>
      </w:r>
    </w:p>
    <w:p w14:paraId="2D7378A5" w14:textId="77777777" w:rsidR="008A1378" w:rsidRDefault="008A1378" w:rsidP="008A1378">
      <w:pPr>
        <w:numPr>
          <w:ilvl w:val="0"/>
          <w:numId w:val="4"/>
        </w:numPr>
        <w:pBdr>
          <w:top w:val="nil"/>
          <w:left w:val="nil"/>
          <w:bottom w:val="nil"/>
          <w:right w:val="nil"/>
          <w:between w:val="nil"/>
        </w:pBdr>
        <w:spacing w:after="0" w:line="360" w:lineRule="auto"/>
        <w:jc w:val="both"/>
        <w:rPr>
          <w:color w:val="000000"/>
          <w:sz w:val="24"/>
          <w:szCs w:val="24"/>
        </w:rPr>
      </w:pPr>
      <w:r>
        <w:rPr>
          <w:color w:val="000000"/>
          <w:sz w:val="24"/>
          <w:szCs w:val="24"/>
        </w:rPr>
        <w:t>Γίνομαι ψηφιακά εγγράμματος</w:t>
      </w:r>
    </w:p>
    <w:p w14:paraId="41E80FC2" w14:textId="77777777" w:rsidR="008A1378" w:rsidRDefault="008A1378" w:rsidP="008A1378">
      <w:pPr>
        <w:numPr>
          <w:ilvl w:val="0"/>
          <w:numId w:val="4"/>
        </w:numPr>
        <w:pBdr>
          <w:top w:val="nil"/>
          <w:left w:val="nil"/>
          <w:bottom w:val="nil"/>
          <w:right w:val="nil"/>
          <w:between w:val="nil"/>
        </w:pBdr>
        <w:spacing w:after="0" w:line="360" w:lineRule="auto"/>
        <w:jc w:val="both"/>
        <w:rPr>
          <w:color w:val="000000"/>
          <w:sz w:val="24"/>
          <w:szCs w:val="24"/>
        </w:rPr>
      </w:pPr>
      <w:proofErr w:type="spellStart"/>
      <w:r w:rsidRPr="002D4C68">
        <w:rPr>
          <w:color w:val="000000"/>
          <w:sz w:val="24"/>
          <w:szCs w:val="24"/>
          <w:lang w:val="de-DE"/>
        </w:rPr>
        <w:t>Πλοήγηση</w:t>
      </w:r>
      <w:proofErr w:type="spellEnd"/>
      <w:r w:rsidRPr="002D4C68">
        <w:rPr>
          <w:color w:val="000000"/>
          <w:sz w:val="24"/>
          <w:szCs w:val="24"/>
          <w:lang w:val="de-DE"/>
        </w:rPr>
        <w:t xml:space="preserve"> </w:t>
      </w:r>
      <w:proofErr w:type="spellStart"/>
      <w:r w:rsidRPr="002D4C68">
        <w:rPr>
          <w:color w:val="000000"/>
          <w:sz w:val="24"/>
          <w:szCs w:val="24"/>
          <w:lang w:val="de-DE"/>
        </w:rPr>
        <w:t>στο</w:t>
      </w:r>
      <w:proofErr w:type="spellEnd"/>
      <w:r w:rsidRPr="002D4C68">
        <w:rPr>
          <w:color w:val="000000"/>
          <w:sz w:val="24"/>
          <w:szCs w:val="24"/>
          <w:lang w:val="de-DE"/>
        </w:rPr>
        <w:t xml:space="preserve"> </w:t>
      </w:r>
      <w:proofErr w:type="spellStart"/>
      <w:r w:rsidRPr="002D4C68">
        <w:rPr>
          <w:color w:val="000000"/>
          <w:sz w:val="24"/>
          <w:szCs w:val="24"/>
          <w:lang w:val="de-DE"/>
        </w:rPr>
        <w:t>Εθνικό</w:t>
      </w:r>
      <w:proofErr w:type="spellEnd"/>
      <w:r w:rsidRPr="002D4C68">
        <w:rPr>
          <w:color w:val="000000"/>
          <w:sz w:val="24"/>
          <w:szCs w:val="24"/>
          <w:lang w:val="de-DE"/>
        </w:rPr>
        <w:t xml:space="preserve"> </w:t>
      </w:r>
      <w:proofErr w:type="spellStart"/>
      <w:r w:rsidRPr="002D4C68">
        <w:rPr>
          <w:color w:val="000000"/>
          <w:sz w:val="24"/>
          <w:szCs w:val="24"/>
          <w:lang w:val="de-DE"/>
        </w:rPr>
        <w:t>Σύστημ</w:t>
      </w:r>
      <w:proofErr w:type="spellEnd"/>
      <w:r w:rsidRPr="002D4C68">
        <w:rPr>
          <w:color w:val="000000"/>
          <w:sz w:val="24"/>
          <w:szCs w:val="24"/>
          <w:lang w:val="de-DE"/>
        </w:rPr>
        <w:t xml:space="preserve">α </w:t>
      </w:r>
      <w:proofErr w:type="spellStart"/>
      <w:r w:rsidRPr="002D4C68">
        <w:rPr>
          <w:color w:val="000000"/>
          <w:sz w:val="24"/>
          <w:szCs w:val="24"/>
          <w:lang w:val="de-DE"/>
        </w:rPr>
        <w:t>Υγεί</w:t>
      </w:r>
      <w:proofErr w:type="spellEnd"/>
      <w:r w:rsidRPr="002D4C68">
        <w:rPr>
          <w:color w:val="000000"/>
          <w:sz w:val="24"/>
          <w:szCs w:val="24"/>
          <w:lang w:val="de-DE"/>
        </w:rPr>
        <w:t xml:space="preserve">ας </w:t>
      </w:r>
      <w:proofErr w:type="spellStart"/>
      <w:r w:rsidRPr="002D4C68">
        <w:rPr>
          <w:color w:val="000000"/>
          <w:sz w:val="24"/>
          <w:szCs w:val="24"/>
          <w:lang w:val="de-DE"/>
        </w:rPr>
        <w:t>μέσω</w:t>
      </w:r>
      <w:proofErr w:type="spellEnd"/>
      <w:r w:rsidRPr="002D4C68">
        <w:rPr>
          <w:color w:val="000000"/>
          <w:sz w:val="24"/>
          <w:szCs w:val="24"/>
          <w:lang w:val="de-DE"/>
        </w:rPr>
        <w:t xml:space="preserve"> </w:t>
      </w:r>
      <w:proofErr w:type="spellStart"/>
      <w:r w:rsidRPr="002D4C68">
        <w:rPr>
          <w:color w:val="000000"/>
          <w:sz w:val="24"/>
          <w:szCs w:val="24"/>
          <w:lang w:val="de-DE"/>
        </w:rPr>
        <w:t>του</w:t>
      </w:r>
      <w:proofErr w:type="spellEnd"/>
      <w:r w:rsidRPr="002D4C68">
        <w:rPr>
          <w:color w:val="000000"/>
          <w:sz w:val="24"/>
          <w:szCs w:val="24"/>
          <w:lang w:val="de-DE"/>
        </w:rPr>
        <w:t xml:space="preserve"> </w:t>
      </w:r>
      <w:proofErr w:type="spellStart"/>
      <w:r w:rsidRPr="002D4C68">
        <w:rPr>
          <w:color w:val="000000"/>
          <w:sz w:val="24"/>
          <w:szCs w:val="24"/>
          <w:lang w:val="de-DE"/>
        </w:rPr>
        <w:t>Δι</w:t>
      </w:r>
      <w:proofErr w:type="spellEnd"/>
      <w:r w:rsidRPr="002D4C68">
        <w:rPr>
          <w:color w:val="000000"/>
          <w:sz w:val="24"/>
          <w:szCs w:val="24"/>
          <w:lang w:val="de-DE"/>
        </w:rPr>
        <w:t>αδικτύου</w:t>
      </w:r>
    </w:p>
    <w:p w14:paraId="7EB159B1" w14:textId="77777777" w:rsidR="008A1378" w:rsidRDefault="008A1378" w:rsidP="008A1378">
      <w:pPr>
        <w:numPr>
          <w:ilvl w:val="0"/>
          <w:numId w:val="4"/>
        </w:numPr>
        <w:pBdr>
          <w:top w:val="nil"/>
          <w:left w:val="nil"/>
          <w:bottom w:val="nil"/>
          <w:right w:val="nil"/>
          <w:between w:val="nil"/>
        </w:pBdr>
        <w:spacing w:after="0" w:line="360" w:lineRule="auto"/>
        <w:jc w:val="both"/>
        <w:rPr>
          <w:color w:val="000000"/>
          <w:sz w:val="24"/>
          <w:szCs w:val="24"/>
        </w:rPr>
      </w:pPr>
      <w:r>
        <w:rPr>
          <w:color w:val="000000"/>
          <w:sz w:val="24"/>
          <w:szCs w:val="24"/>
        </w:rPr>
        <w:t>Δραστηριότητα στο ψηφιακό περιβάλλον υγείας</w:t>
      </w:r>
    </w:p>
    <w:p w14:paraId="74CAE1CB" w14:textId="77777777" w:rsidR="008A1378" w:rsidRPr="008A1378" w:rsidRDefault="008A1378" w:rsidP="008A1378">
      <w:pPr>
        <w:spacing w:line="360" w:lineRule="auto"/>
        <w:jc w:val="both"/>
        <w:rPr>
          <w:sz w:val="24"/>
          <w:szCs w:val="24"/>
        </w:rPr>
      </w:pPr>
    </w:p>
    <w:p w14:paraId="26452AC0" w14:textId="77777777" w:rsidR="008A1378" w:rsidRPr="008A1378" w:rsidRDefault="008A1378" w:rsidP="008A1378">
      <w:pPr>
        <w:spacing w:line="360" w:lineRule="auto"/>
        <w:jc w:val="both"/>
        <w:rPr>
          <w:sz w:val="24"/>
          <w:szCs w:val="24"/>
        </w:rPr>
      </w:pPr>
      <w:r w:rsidRPr="008A1378">
        <w:rPr>
          <w:sz w:val="24"/>
          <w:szCs w:val="24"/>
        </w:rPr>
        <w:t xml:space="preserve">Το εγχειρίδιο απευθύνεται ειδικά σε εκπαιδευτές και επαγγελματίες υποστήριξης (κοινωνικούς λειτουργούς, επαγγελματίες στο τομέα της υγείας </w:t>
      </w:r>
      <w:proofErr w:type="spellStart"/>
      <w:r w:rsidRPr="008A1378">
        <w:rPr>
          <w:sz w:val="24"/>
          <w:szCs w:val="24"/>
        </w:rPr>
        <w:t>κ.λ.π</w:t>
      </w:r>
      <w:proofErr w:type="spellEnd"/>
      <w:r w:rsidRPr="008A1378">
        <w:rPr>
          <w:sz w:val="24"/>
          <w:szCs w:val="24"/>
        </w:rPr>
        <w:t>). Το εγχειρίδιο αποσκοπεί στη παροχή βαθύτερης κατανόησης σχετικά με τα θέματα που συζητούνται στις εκπαιδευτικές συνεδρίες, ώστε το περιεχόμενο του εκπαιδευτικού υλικού να γίνει πιο σαφές για τον εκπαιδευτή. Το εγχειρίδιο βοηθάει επίσης τους εκπαιδευτές να είναι πιο προετοιμασμένοι για να απαντήσουν σε ερωτήσεις καθώς το περιεχόμενό του είναι πιο λεπτομερές από τις πληροφορίες του εκπαιδευτικού υλικού. Επομένως, αυτό το εγχειρίδιο παρέχει πιο λεπτομερείς γνώσεις και συνδέσμους με πρόσθετους πόρους που σχετίζονται με το περιεχόμενο -κυρίως για τους εκπαιδευτές, αλλά και για άλλα άτομα που θα ήθελαν να μάθουν περισσότερα για τα θέματα που καλύπτονται στην εκπαίδευση που παρέχει το συγκεκριμένο πρόγραμμα.</w:t>
      </w:r>
    </w:p>
    <w:p w14:paraId="4685C0EC" w14:textId="77777777" w:rsidR="008A1378" w:rsidRPr="00164E4E" w:rsidRDefault="008A1378" w:rsidP="008A1378">
      <w:pPr>
        <w:spacing w:line="360" w:lineRule="auto"/>
        <w:jc w:val="both"/>
        <w:rPr>
          <w:sz w:val="24"/>
          <w:szCs w:val="24"/>
        </w:rPr>
      </w:pPr>
      <w:r>
        <w:rPr>
          <w:sz w:val="24"/>
          <w:szCs w:val="24"/>
        </w:rPr>
        <w:t>Η δομή του εγχειριδίου συμβαδίζει με τη δομή του εκπαιδευτικού προγράμματος. Κάθε ενότητα καλύπτεται σε ένα κεφάλαιο περίπου 6 έως 8 σελίδων.</w:t>
      </w:r>
    </w:p>
    <w:p w14:paraId="140A76F5" w14:textId="63F86770" w:rsidR="0049691A" w:rsidRDefault="0049691A" w:rsidP="00DC1832">
      <w:pPr>
        <w:spacing w:line="360" w:lineRule="auto"/>
        <w:jc w:val="both"/>
        <w:rPr>
          <w:sz w:val="24"/>
          <w:szCs w:val="24"/>
        </w:rPr>
      </w:pPr>
      <w:r>
        <w:rPr>
          <w:sz w:val="24"/>
          <w:szCs w:val="24"/>
        </w:rPr>
        <w:t xml:space="preserve">Το συγκεκριμένο </w:t>
      </w:r>
      <w:r w:rsidR="009848B6">
        <w:rPr>
          <w:sz w:val="24"/>
          <w:szCs w:val="24"/>
        </w:rPr>
        <w:t>μέρος</w:t>
      </w:r>
      <w:r>
        <w:rPr>
          <w:sz w:val="24"/>
          <w:szCs w:val="24"/>
        </w:rPr>
        <w:t xml:space="preserve"> του εγχειριδίου</w:t>
      </w:r>
      <w:r w:rsidR="0031696A">
        <w:rPr>
          <w:sz w:val="24"/>
          <w:szCs w:val="24"/>
        </w:rPr>
        <w:t xml:space="preserve"> </w:t>
      </w:r>
      <w:r>
        <w:rPr>
          <w:sz w:val="24"/>
          <w:szCs w:val="24"/>
        </w:rPr>
        <w:t xml:space="preserve">περιέχει πληροφορίες σχετικά με την </w:t>
      </w:r>
      <w:r>
        <w:rPr>
          <w:b/>
          <w:bCs/>
          <w:sz w:val="24"/>
          <w:szCs w:val="24"/>
        </w:rPr>
        <w:t xml:space="preserve">Ενότητα 2: </w:t>
      </w:r>
      <w:r w:rsidR="008A1378" w:rsidRPr="008A1378">
        <w:rPr>
          <w:b/>
          <w:bCs/>
          <w:sz w:val="24"/>
          <w:szCs w:val="24"/>
        </w:rPr>
        <w:t>Κύρια προβλήματα υγείας κατά την άφιξη σε μία νέα χώρα</w:t>
      </w:r>
      <w:r>
        <w:rPr>
          <w:sz w:val="24"/>
          <w:szCs w:val="24"/>
        </w:rPr>
        <w:t xml:space="preserve">. Επομένως, εδώ θα βρείτε τις απαραίτητες θεωρητικές πληροφορίες για την κατανόηση του περιεχομένου και των δραστηριοτήτων του </w:t>
      </w:r>
      <w:r>
        <w:rPr>
          <w:b/>
          <w:bCs/>
          <w:sz w:val="24"/>
          <w:szCs w:val="24"/>
          <w:lang w:val="en-US"/>
        </w:rPr>
        <w:t>DPTA</w:t>
      </w:r>
      <w:r w:rsidRPr="0049691A">
        <w:rPr>
          <w:b/>
          <w:bCs/>
          <w:sz w:val="24"/>
          <w:szCs w:val="24"/>
        </w:rPr>
        <w:t xml:space="preserve">_2. </w:t>
      </w:r>
      <w:r>
        <w:rPr>
          <w:b/>
          <w:bCs/>
          <w:sz w:val="24"/>
          <w:szCs w:val="24"/>
        </w:rPr>
        <w:t>Ενότητα 2 «</w:t>
      </w:r>
      <w:r w:rsidR="008A1378" w:rsidRPr="008A1378">
        <w:rPr>
          <w:b/>
          <w:bCs/>
          <w:sz w:val="24"/>
          <w:szCs w:val="24"/>
        </w:rPr>
        <w:t xml:space="preserve">Κύρια </w:t>
      </w:r>
      <w:r w:rsidR="008A1378" w:rsidRPr="008A1378">
        <w:rPr>
          <w:b/>
          <w:bCs/>
          <w:sz w:val="24"/>
          <w:szCs w:val="24"/>
        </w:rPr>
        <w:lastRenderedPageBreak/>
        <w:t>προβλήματα υγείας κατά την άφιξη σε μία νέα χώρα</w:t>
      </w:r>
      <w:r>
        <w:rPr>
          <w:b/>
          <w:bCs/>
          <w:sz w:val="24"/>
          <w:szCs w:val="24"/>
        </w:rPr>
        <w:t>»</w:t>
      </w:r>
      <w:r w:rsidR="00B80B76">
        <w:rPr>
          <w:sz w:val="24"/>
          <w:szCs w:val="24"/>
        </w:rPr>
        <w:t>, που συνδέονται με την ευαισθητοποίηση σχετικά με τα θέματα υγείας στα οποία οι μετανάστες είναι επιρρεπείς μόλις φτάσουν σε μια νέα χώρα. Το εκπαιδευτικό υλικό εστιάζει σε τομείς που επηρεάζουν την υγεία πριν, κατά τη διάρκεια, και αφού οι μετανάστες έχουν φτάσει στην χώρα υποδοχής.</w:t>
      </w:r>
    </w:p>
    <w:p w14:paraId="4D58F70F" w14:textId="77777777" w:rsidR="009556EB" w:rsidRDefault="00B80B76" w:rsidP="00DC1832">
      <w:pPr>
        <w:spacing w:line="360" w:lineRule="auto"/>
        <w:jc w:val="both"/>
        <w:rPr>
          <w:sz w:val="24"/>
          <w:szCs w:val="24"/>
        </w:rPr>
      </w:pPr>
      <w:r>
        <w:rPr>
          <w:sz w:val="24"/>
          <w:szCs w:val="24"/>
        </w:rPr>
        <w:t xml:space="preserve">Κάθε μία από αυτές τις φάσεις επηρεάζουν την φυσική και ψυχική υγεία των μεταναστών, και σε ορισμένες περιπτώσεις, είναι αλληλένδετες και </w:t>
      </w:r>
      <w:r w:rsidR="009556EB">
        <w:rPr>
          <w:sz w:val="24"/>
          <w:szCs w:val="24"/>
        </w:rPr>
        <w:t>αλληλεξαρτώμενες</w:t>
      </w:r>
      <w:r>
        <w:rPr>
          <w:sz w:val="24"/>
          <w:szCs w:val="24"/>
        </w:rPr>
        <w:t>.</w:t>
      </w:r>
    </w:p>
    <w:p w14:paraId="71BF62A8" w14:textId="5AF12791" w:rsidR="00572485" w:rsidRDefault="009556EB" w:rsidP="00DC1832">
      <w:pPr>
        <w:spacing w:line="360" w:lineRule="auto"/>
        <w:jc w:val="both"/>
        <w:rPr>
          <w:sz w:val="24"/>
          <w:szCs w:val="24"/>
        </w:rPr>
      </w:pPr>
      <w:r>
        <w:rPr>
          <w:sz w:val="24"/>
          <w:szCs w:val="24"/>
        </w:rPr>
        <w:t xml:space="preserve">Τα θέματα υγείας δεν έχουν μόνο τη μορφή συμπτωμάτων </w:t>
      </w:r>
      <w:r w:rsidR="006069BC">
        <w:rPr>
          <w:sz w:val="24"/>
          <w:szCs w:val="24"/>
        </w:rPr>
        <w:t>ασθένειας</w:t>
      </w:r>
      <w:r>
        <w:rPr>
          <w:sz w:val="24"/>
          <w:szCs w:val="24"/>
        </w:rPr>
        <w:t xml:space="preserve">. Σχετίζονται επίσης με την γλώσσα και τους όρους, και τους διαφορετικούς τρόπους αντιμετώπισης μιας ασθένειας. Πίσω από τα συμπτώματα και την περιγραφή τους, υπάρχουν συχνά πολιτισμικές </w:t>
      </w:r>
      <w:r w:rsidR="004B50B8">
        <w:rPr>
          <w:sz w:val="24"/>
          <w:szCs w:val="24"/>
        </w:rPr>
        <w:t>εξιστορήσεις</w:t>
      </w:r>
      <w:r>
        <w:rPr>
          <w:sz w:val="24"/>
          <w:szCs w:val="24"/>
        </w:rPr>
        <w:t xml:space="preserve">, γι’ αυτό τόσο οι μετανάστες όσο και οι γιατροί τους θα πρέπει να είναι ευαισθητοποιημένοι σχετικά με αυτού του είδους </w:t>
      </w:r>
      <w:r w:rsidR="00EB5986">
        <w:rPr>
          <w:sz w:val="24"/>
          <w:szCs w:val="24"/>
        </w:rPr>
        <w:t xml:space="preserve">απόκλιση. Η ενότητα περιγράφει τις πιο κοινές ασθένειες και τις ανάλογες θεραπείες που μπορεί να </w:t>
      </w:r>
      <w:r w:rsidR="00F7344A">
        <w:rPr>
          <w:sz w:val="24"/>
          <w:szCs w:val="24"/>
        </w:rPr>
        <w:t>αντιμετωπίσει</w:t>
      </w:r>
      <w:r w:rsidR="00EB5986">
        <w:rPr>
          <w:sz w:val="24"/>
          <w:szCs w:val="24"/>
        </w:rPr>
        <w:t xml:space="preserve"> ο μετανάστης στην χώρα υποδοχής καθώς και με ποιο τρόπο μπορούν</w:t>
      </w:r>
      <w:r w:rsidR="003F7253">
        <w:rPr>
          <w:sz w:val="24"/>
          <w:szCs w:val="24"/>
        </w:rPr>
        <w:t xml:space="preserve"> </w:t>
      </w:r>
      <w:r w:rsidR="00EB5986">
        <w:rPr>
          <w:sz w:val="24"/>
          <w:szCs w:val="24"/>
        </w:rPr>
        <w:t xml:space="preserve">να αντιμετωπιστούν χρησιμοποιώντας ψηφιακά μέσα. Ένας ακόμα στόχος της ενότητας είναι η διερεύνηση των βασικών συμπεριφορών που καθορίζουν την υγεία, </w:t>
      </w:r>
      <w:r w:rsidR="00422EB2">
        <w:rPr>
          <w:sz w:val="24"/>
          <w:szCs w:val="24"/>
        </w:rPr>
        <w:t xml:space="preserve">που </w:t>
      </w:r>
      <w:r w:rsidR="00EB5986">
        <w:rPr>
          <w:sz w:val="24"/>
          <w:szCs w:val="24"/>
        </w:rPr>
        <w:t>σχετίζονται και επηρεάζουν τόσο εκείνη όσο και τα αποτελέσματα της. Επιπροσθέτως, η ενότητα στοχεύει να περιγράψει τις στρατηγικές αντιμετώπισης π</w:t>
      </w:r>
      <w:r w:rsidR="00572485">
        <w:rPr>
          <w:sz w:val="24"/>
          <w:szCs w:val="24"/>
        </w:rPr>
        <w:t>ο</w:t>
      </w:r>
      <w:r w:rsidR="00EB5986">
        <w:rPr>
          <w:sz w:val="24"/>
          <w:szCs w:val="24"/>
        </w:rPr>
        <w:t xml:space="preserve">υ χρειάζεται να γνωρίζουν οι μετανάστες μόλις </w:t>
      </w:r>
      <w:r w:rsidR="00572485">
        <w:rPr>
          <w:sz w:val="24"/>
          <w:szCs w:val="24"/>
        </w:rPr>
        <w:t>φτάσουν στην χώρα υποδοχής.</w:t>
      </w:r>
    </w:p>
    <w:p w14:paraId="18C9F146" w14:textId="536D4202" w:rsidR="00672B1D" w:rsidRPr="008A1378" w:rsidRDefault="00572485" w:rsidP="008011E2">
      <w:pPr>
        <w:pStyle w:val="1"/>
        <w:numPr>
          <w:ilvl w:val="1"/>
          <w:numId w:val="5"/>
        </w:numPr>
        <w:rPr>
          <w:lang w:val="el-GR" w:eastAsia="en-GB"/>
        </w:rPr>
      </w:pPr>
      <w:bookmarkStart w:id="3" w:name="_Toc108446573"/>
      <w:r w:rsidRPr="008A1378">
        <w:rPr>
          <w:lang w:val="el-GR" w:eastAsia="en-GB"/>
        </w:rPr>
        <w:t>Εισαγωγή</w:t>
      </w:r>
      <w:bookmarkEnd w:id="3"/>
    </w:p>
    <w:p w14:paraId="0CAD7F5D" w14:textId="62A00536" w:rsidR="00572485" w:rsidRDefault="00572485" w:rsidP="00DC1832">
      <w:pPr>
        <w:spacing w:line="360" w:lineRule="auto"/>
        <w:jc w:val="both"/>
      </w:pPr>
      <w:r>
        <w:t>Ξεκινώντας, εσείς ως εκπαιδευτής θα πρέπει να εξηγήσετε τους στόχους της συνεδρίας, τη διάρκεια της, τον οργανισμό και τις δραστηριότητες. Παρακαλείστε να μην ξεχνάτε ότι οι εκπαιδευόμενοι μπορεί να προέρχονται από διαφορετικά εκπαιδευτικά υπόβαθρα και να μην</w:t>
      </w:r>
      <w:r w:rsidR="009201BC">
        <w:t xml:space="preserve"> </w:t>
      </w:r>
      <w:r>
        <w:t>είναι συνηθισμένοι σ</w:t>
      </w:r>
      <w:r w:rsidR="0025391B" w:rsidRPr="0025391B">
        <w:t>’</w:t>
      </w:r>
      <w:r>
        <w:t xml:space="preserve"> ένα εκπαιδευτικό περιβάλλον (πλέον). </w:t>
      </w:r>
      <w:r w:rsidR="00E1470D">
        <w:t>Γι’ αυτόν τον λόγο</w:t>
      </w:r>
      <w:r>
        <w:t xml:space="preserve">, μπορείτε να ξεκινήσετε τη συνεδρία με μια συζήτηση σχετικά με το ιστορικό και τα ενδιαφέροντα </w:t>
      </w:r>
      <w:r w:rsidR="00B51E67">
        <w:t>τους. Προσπαθήστε να μάθετε το μορφωτικό τους επίπεδο, εάν δεν σας είναι γνωστό πριν την εκπαίδευση.</w:t>
      </w:r>
    </w:p>
    <w:p w14:paraId="635C5849" w14:textId="2E2CC497" w:rsidR="00B51E67" w:rsidRDefault="00B51E67" w:rsidP="00DC1832">
      <w:pPr>
        <w:spacing w:line="360" w:lineRule="auto"/>
        <w:jc w:val="both"/>
      </w:pPr>
      <w:r>
        <w:lastRenderedPageBreak/>
        <w:t xml:space="preserve">Γι’ αυτή την ενότητα, θα θεωρήσουμε πως οι εκπαιδευόμενοι είναι εγγράμματοι και επαρκώς επιδέξιοι στην γραφή, ανάγνωση και κατανόηση, και ότι έχουν λάβει σχολική εκπαίδευση που τους δίδαξε τις βασικές δεξιότητες. Επιπλέον, θα υποθέσουμε ότι είναι εξοικειωμένοι με τη χρήση ψηφιακών κινητών συσκευών. </w:t>
      </w:r>
      <w:r w:rsidR="00FA60C1">
        <w:t>Κάντε σχετικές ερωτήσεις στην ομάδα εκπαιδευομένων σας ώστε να μπορείτε να αξιολογήσετε καλύτερα τυχόν ελλείμματα και να προσαρμόσετε κατάλληλα την εκπαίδευση.</w:t>
      </w:r>
    </w:p>
    <w:p w14:paraId="067EA5DB" w14:textId="167FE320" w:rsidR="00FA60C1" w:rsidRDefault="00FA60C1" w:rsidP="00DC1832">
      <w:pPr>
        <w:spacing w:line="360" w:lineRule="auto"/>
        <w:jc w:val="both"/>
      </w:pPr>
      <w:r>
        <w:t xml:space="preserve">Για τις ανάγκες της εκπαίδευσης, οι εκπαιδευόμενοι είναι απαραίτητο να έχουν πρόσβαση σε κάποιο ψηφιακό εργαλείο, όπως κινητό τηλέφωνο, </w:t>
      </w:r>
      <w:proofErr w:type="spellStart"/>
      <w:r>
        <w:t>τάμπλετ</w:t>
      </w:r>
      <w:proofErr w:type="spellEnd"/>
      <w:r>
        <w:t xml:space="preserve"> ή υπολογιστής. </w:t>
      </w:r>
    </w:p>
    <w:p w14:paraId="4532B4FF" w14:textId="48251039" w:rsidR="0007112F" w:rsidRDefault="00BC5667" w:rsidP="00DC1832">
      <w:pPr>
        <w:spacing w:line="360" w:lineRule="auto"/>
        <w:jc w:val="both"/>
      </w:pPr>
      <w:r>
        <w:t xml:space="preserve">Ξεκινήστε εξηγώντας </w:t>
      </w:r>
      <w:r w:rsidR="0007112F">
        <w:t xml:space="preserve">λεπτομερώς τους κανόνες της συνεδρίας, π.χ. απαγορεύεται η ανταλλαγή μηνυμάτων, οι κλήσεις και οι συζητήσεις. Ενθαρρύνετε την ενεργή συμμετοχή και δώστε ιδιαίτερη προσοχή σε εκείνους που δεν συμμετέχουν ενεργά στη συνεδρία. Οι λόγοι μπορεί </w:t>
      </w:r>
      <w:r w:rsidR="00751902">
        <w:t>να</w:t>
      </w:r>
      <w:r w:rsidR="0007112F">
        <w:t xml:space="preserve"> διαφέρουν, όπως για παράδειγμα συστολή ή έλλειψη γλωσσικών δεξιοτήτων.</w:t>
      </w:r>
    </w:p>
    <w:p w14:paraId="134DC01B" w14:textId="3094E3BA" w:rsidR="00181DB5" w:rsidRPr="008011E2" w:rsidRDefault="005616F7" w:rsidP="00DC1832">
      <w:pPr>
        <w:spacing w:line="360" w:lineRule="auto"/>
        <w:jc w:val="both"/>
      </w:pPr>
      <w:r>
        <w:t xml:space="preserve">Ύστερα, παρουσιάστε </w:t>
      </w:r>
      <w:r w:rsidR="0007112F">
        <w:t xml:space="preserve">τις πρακτικές δραστηριότητες και </w:t>
      </w:r>
      <w:r w:rsidR="00B746C7">
        <w:t xml:space="preserve">διατυπώστε σαφώς τις προσδοκίες σας για την ενεργή συμμετοχή από την αρχή, καθώς αυτή η εκπαίδευση δεν βασίζεται στην ακρόαση αλλά στην πρακτική και την εκμάθηση μέσω της ενεργούς συμμετοχής. Μην ξεχνάτε πως οι εκπαιδευόμενοι σας μπορεί </w:t>
      </w:r>
      <w:r>
        <w:t xml:space="preserve">να </w:t>
      </w:r>
      <w:r w:rsidR="00B746C7">
        <w:t xml:space="preserve">μην είναι εξοικειωμένοι με την διδακτική προσέγγιση. </w:t>
      </w:r>
    </w:p>
    <w:p w14:paraId="06D03C20" w14:textId="241B0668" w:rsidR="00B746C7" w:rsidRPr="008A1378" w:rsidRDefault="00B746C7" w:rsidP="008011E2">
      <w:pPr>
        <w:pStyle w:val="1"/>
        <w:numPr>
          <w:ilvl w:val="1"/>
          <w:numId w:val="5"/>
        </w:numPr>
        <w:rPr>
          <w:lang w:val="el-GR" w:eastAsia="en-GB"/>
        </w:rPr>
      </w:pPr>
      <w:bookmarkStart w:id="4" w:name="_Toc108446574"/>
      <w:r w:rsidRPr="008A1378">
        <w:rPr>
          <w:lang w:val="el-GR" w:eastAsia="en-GB"/>
        </w:rPr>
        <w:t>Παράγο</w:t>
      </w:r>
      <w:r w:rsidR="008A1378">
        <w:rPr>
          <w:lang w:val="el-GR" w:eastAsia="en-GB"/>
        </w:rPr>
        <w:t xml:space="preserve">ντες κινδύνου και θέματα υγείας </w:t>
      </w:r>
      <w:r w:rsidRPr="008A1378">
        <w:rPr>
          <w:lang w:val="el-GR" w:eastAsia="en-GB"/>
        </w:rPr>
        <w:t>ανάλογα με το στάδιο μετανάστευσης.</w:t>
      </w:r>
      <w:bookmarkEnd w:id="4"/>
    </w:p>
    <w:p w14:paraId="77F46FA2" w14:textId="384C494F" w:rsidR="004128C3" w:rsidRDefault="00B746C7" w:rsidP="00DC1832">
      <w:pPr>
        <w:spacing w:line="360" w:lineRule="auto"/>
        <w:jc w:val="both"/>
        <w:rPr>
          <w:sz w:val="24"/>
          <w:szCs w:val="24"/>
        </w:rPr>
      </w:pPr>
      <w:r>
        <w:rPr>
          <w:sz w:val="24"/>
          <w:szCs w:val="24"/>
        </w:rPr>
        <w:t xml:space="preserve">Για τους μετανάστες, οι κίνδυνοι υγείας μπορεί να </w:t>
      </w:r>
      <w:r w:rsidRPr="005A53E5">
        <w:rPr>
          <w:sz w:val="24"/>
          <w:szCs w:val="24"/>
        </w:rPr>
        <w:t>προκ</w:t>
      </w:r>
      <w:r w:rsidR="005A53E5" w:rsidRPr="005A53E5">
        <w:rPr>
          <w:sz w:val="24"/>
          <w:szCs w:val="24"/>
        </w:rPr>
        <w:t>ύψουν</w:t>
      </w:r>
      <w:r w:rsidR="005A53E5">
        <w:t xml:space="preserve"> </w:t>
      </w:r>
      <w:r w:rsidR="005A53E5">
        <w:rPr>
          <w:sz w:val="24"/>
          <w:szCs w:val="24"/>
        </w:rPr>
        <w:t xml:space="preserve">σε κάθε στάδιο </w:t>
      </w:r>
      <w:r w:rsidR="005616F7">
        <w:rPr>
          <w:sz w:val="24"/>
          <w:szCs w:val="24"/>
        </w:rPr>
        <w:t xml:space="preserve">της </w:t>
      </w:r>
      <w:r w:rsidR="005A53E5">
        <w:rPr>
          <w:sz w:val="24"/>
          <w:szCs w:val="24"/>
        </w:rPr>
        <w:t xml:space="preserve">μετανάστευσης, ξεκινώντας από την χώρα προέλευσης (ειδικά εάν προέρχονται από ασταθείς καταστάσεις ή συγκρούσεις). </w:t>
      </w:r>
      <w:r w:rsidR="00E516A5">
        <w:rPr>
          <w:sz w:val="24"/>
          <w:szCs w:val="24"/>
        </w:rPr>
        <w:t>Διάφοροι κίνδυνοι μπορεί να προκύψουν κ</w:t>
      </w:r>
      <w:r w:rsidR="005A53E5">
        <w:rPr>
          <w:sz w:val="24"/>
          <w:szCs w:val="24"/>
        </w:rPr>
        <w:t>ατά τη διάρκεια του ταξιδιού</w:t>
      </w:r>
      <w:r w:rsidR="00E516A5">
        <w:rPr>
          <w:sz w:val="24"/>
          <w:szCs w:val="24"/>
        </w:rPr>
        <w:t>, στην χώρα προορισμού η διέλευσης καθώς και στο στάδιο μετεγκατάσταση</w:t>
      </w:r>
      <w:r w:rsidR="0030291D">
        <w:rPr>
          <w:sz w:val="24"/>
          <w:szCs w:val="24"/>
        </w:rPr>
        <w:t>ς</w:t>
      </w:r>
      <w:r w:rsidR="00E516A5">
        <w:rPr>
          <w:sz w:val="24"/>
          <w:szCs w:val="24"/>
        </w:rPr>
        <w:t xml:space="preserve">. Επομένως, </w:t>
      </w:r>
      <w:r w:rsidR="008912DF">
        <w:rPr>
          <w:sz w:val="24"/>
          <w:szCs w:val="24"/>
        </w:rPr>
        <w:t>καλείστε</w:t>
      </w:r>
      <w:r w:rsidR="00E516A5">
        <w:rPr>
          <w:sz w:val="24"/>
          <w:szCs w:val="24"/>
        </w:rPr>
        <w:t xml:space="preserve"> να </w:t>
      </w:r>
      <w:r w:rsidR="008D5FE0">
        <w:rPr>
          <w:sz w:val="24"/>
          <w:szCs w:val="24"/>
        </w:rPr>
        <w:t>κάνετε ερωτήσεις</w:t>
      </w:r>
      <w:r w:rsidR="00E516A5">
        <w:rPr>
          <w:sz w:val="24"/>
          <w:szCs w:val="24"/>
        </w:rPr>
        <w:t xml:space="preserve"> </w:t>
      </w:r>
      <w:r w:rsidR="0030291D">
        <w:rPr>
          <w:sz w:val="24"/>
          <w:szCs w:val="24"/>
        </w:rPr>
        <w:t>σ</w:t>
      </w:r>
      <w:r w:rsidR="00E516A5">
        <w:rPr>
          <w:sz w:val="24"/>
          <w:szCs w:val="24"/>
        </w:rPr>
        <w:t xml:space="preserve">τους </w:t>
      </w:r>
      <w:r w:rsidR="00F92A70">
        <w:rPr>
          <w:sz w:val="24"/>
          <w:szCs w:val="24"/>
        </w:rPr>
        <w:t>εκπαιδευόμενους</w:t>
      </w:r>
      <w:r w:rsidR="00E516A5">
        <w:rPr>
          <w:sz w:val="24"/>
          <w:szCs w:val="24"/>
        </w:rPr>
        <w:t xml:space="preserve"> σας σχετικά με αυτούς τους κινδύνους υγείας που σχετίζονται με την </w:t>
      </w:r>
      <w:r w:rsidR="00487681">
        <w:rPr>
          <w:sz w:val="24"/>
          <w:szCs w:val="24"/>
        </w:rPr>
        <w:t xml:space="preserve">μετανάστευση, </w:t>
      </w:r>
      <w:r w:rsidR="0011582B">
        <w:rPr>
          <w:sz w:val="24"/>
          <w:szCs w:val="24"/>
        </w:rPr>
        <w:t>προσδιορίζοντας</w:t>
      </w:r>
      <w:r w:rsidR="00487681">
        <w:rPr>
          <w:sz w:val="24"/>
          <w:szCs w:val="24"/>
        </w:rPr>
        <w:t xml:space="preserve"> ή όχι τα στάδια. Στο εκπαιδευτικό υλικ</w:t>
      </w:r>
      <w:r w:rsidR="00362448">
        <w:rPr>
          <w:sz w:val="24"/>
          <w:szCs w:val="24"/>
        </w:rPr>
        <w:t xml:space="preserve">ό, ζητείται από τους εκπαιδευομένους να </w:t>
      </w:r>
      <w:r w:rsidR="00487681">
        <w:rPr>
          <w:sz w:val="24"/>
          <w:szCs w:val="24"/>
        </w:rPr>
        <w:t xml:space="preserve">καταγράψουν τις εμπειρίες τους σε κάθε στάδιο. Επιτρέψτε τους να χρησιμοποιήσουν πίνακες παρουσιάσεων </w:t>
      </w:r>
      <w:r w:rsidR="004128C3">
        <w:rPr>
          <w:sz w:val="24"/>
          <w:szCs w:val="24"/>
        </w:rPr>
        <w:t xml:space="preserve">ή ανακοινώσεων για να καταγράψουν ό,τι τους κίνησε το ενδιαφέρον. Προτείνεται η </w:t>
      </w:r>
      <w:r w:rsidR="004128C3">
        <w:rPr>
          <w:sz w:val="24"/>
          <w:szCs w:val="24"/>
        </w:rPr>
        <w:lastRenderedPageBreak/>
        <w:t>προβολή του εισαγωγικού βίντεο και η λεπτομερής επεξήγηση των παραγόντων κινδύνου σε κάθε στάδιο.</w:t>
      </w:r>
    </w:p>
    <w:p w14:paraId="2255A7BF" w14:textId="5BF90680" w:rsidR="00307260" w:rsidRDefault="004128C3" w:rsidP="00DC1832">
      <w:pPr>
        <w:spacing w:line="360" w:lineRule="auto"/>
        <w:jc w:val="both"/>
        <w:rPr>
          <w:sz w:val="24"/>
          <w:szCs w:val="24"/>
        </w:rPr>
      </w:pPr>
      <w:r>
        <w:rPr>
          <w:sz w:val="24"/>
          <w:szCs w:val="24"/>
        </w:rPr>
        <w:t xml:space="preserve">Υπάρχουν ψηφιακές εργασίες που αφορούν άμεσα αυτό το κομμάτι της εκπαίδευσης στις οποίες </w:t>
      </w:r>
      <w:r w:rsidR="00307260">
        <w:rPr>
          <w:sz w:val="24"/>
          <w:szCs w:val="24"/>
        </w:rPr>
        <w:t xml:space="preserve">οι εκπαιδευόμενοι ζητούνται να δημιουργήσουν το δικό τους οδηγό τσέπης για τα θέματα υγείας ανάλογα με τις προσωπικές ανάγκες και ενδιαφέροντα τους. Μέσω της εκπαιδευτικής πλατφόρμας, θα είστε σε θέση να ελέγξετε τις ασκήσεις και να κρατήσετε επαφή με τους εκπαιδευόμενους. </w:t>
      </w:r>
    </w:p>
    <w:p w14:paraId="2E569C64" w14:textId="483651CE" w:rsidR="003A2104" w:rsidRPr="008011E2" w:rsidRDefault="00307260" w:rsidP="008011E2">
      <w:pPr>
        <w:pStyle w:val="1"/>
        <w:numPr>
          <w:ilvl w:val="1"/>
          <w:numId w:val="5"/>
        </w:numPr>
        <w:rPr>
          <w:lang w:val="el-GR" w:eastAsia="en-GB"/>
        </w:rPr>
      </w:pPr>
      <w:bookmarkStart w:id="5" w:name="_Toc108446575"/>
      <w:r w:rsidRPr="008011E2">
        <w:rPr>
          <w:lang w:val="el-GR" w:eastAsia="en-GB"/>
        </w:rPr>
        <w:t>Διερευνώντας την φυσική και ψυχική υγεία των μεταναστών</w:t>
      </w:r>
      <w:bookmarkEnd w:id="5"/>
    </w:p>
    <w:p w14:paraId="336D9ED9" w14:textId="09BC83E3" w:rsidR="005A6621" w:rsidRDefault="006F04CF" w:rsidP="00DC1832">
      <w:pPr>
        <w:spacing w:line="360" w:lineRule="auto"/>
        <w:jc w:val="both"/>
        <w:rPr>
          <w:sz w:val="24"/>
          <w:szCs w:val="24"/>
        </w:rPr>
      </w:pPr>
      <w:r>
        <w:rPr>
          <w:sz w:val="24"/>
          <w:szCs w:val="24"/>
        </w:rPr>
        <w:t>Οι μεταναστευτικοί πληθυσμοί κινδυνεύουν από συγκεκριμένα φυσικά και ψυχικά θέματα υγείας. Στην εκπαίδευση, οι εκπαιδευόμενοι θα ενημερωθούν για τα συμπτώματα υγείας και τα προβλήματα ψυχικής υγείας που είναι πιο διαδεδομένα στον μεταναστευτικό πληθυσμό. Στη συνέχεια, θα οργανώσετε μια ομαδική συζήτηση</w:t>
      </w:r>
      <w:r w:rsidR="00D449D6">
        <w:rPr>
          <w:sz w:val="24"/>
          <w:szCs w:val="24"/>
        </w:rPr>
        <w:t xml:space="preserve">, </w:t>
      </w:r>
      <w:r w:rsidR="008011E2">
        <w:rPr>
          <w:sz w:val="24"/>
          <w:szCs w:val="24"/>
        </w:rPr>
        <w:t>ώστε να διερευνηθεί η</w:t>
      </w:r>
      <w:r w:rsidR="00E16DC0">
        <w:rPr>
          <w:sz w:val="24"/>
          <w:szCs w:val="24"/>
        </w:rPr>
        <w:t xml:space="preserve"> βιωματική εξιστόρηση </w:t>
      </w:r>
      <w:r w:rsidR="00905AD1">
        <w:rPr>
          <w:sz w:val="24"/>
          <w:szCs w:val="24"/>
        </w:rPr>
        <w:t>ασθενειών τις οποίες έχουν αντιμετωπίσει οι εκπαιδευόμενοι</w:t>
      </w:r>
      <w:r w:rsidR="00D449D6">
        <w:rPr>
          <w:sz w:val="24"/>
          <w:szCs w:val="24"/>
        </w:rPr>
        <w:t>, στοχεύοντας στην κατάρριψη των πολιτισμικών εμποδίων που πιθαν</w:t>
      </w:r>
      <w:r w:rsidR="00885C1A">
        <w:rPr>
          <w:sz w:val="24"/>
          <w:szCs w:val="24"/>
        </w:rPr>
        <w:t>ό</w:t>
      </w:r>
      <w:r w:rsidR="00D449D6">
        <w:rPr>
          <w:sz w:val="24"/>
          <w:szCs w:val="24"/>
        </w:rPr>
        <w:t>ν να επηρεάζουν την εκπαίδευση σε θέματα υγείας. Μπορείτε ν</w:t>
      </w:r>
      <w:r w:rsidR="006B0425">
        <w:rPr>
          <w:sz w:val="24"/>
          <w:szCs w:val="24"/>
        </w:rPr>
        <w:t>α</w:t>
      </w:r>
      <w:r w:rsidR="00D449D6">
        <w:rPr>
          <w:sz w:val="24"/>
          <w:szCs w:val="24"/>
        </w:rPr>
        <w:t xml:space="preserve"> ανοίξετε μια συζήτηση σχετικά </w:t>
      </w:r>
      <w:r w:rsidR="00680365">
        <w:rPr>
          <w:sz w:val="24"/>
          <w:szCs w:val="24"/>
        </w:rPr>
        <w:t xml:space="preserve">με </w:t>
      </w:r>
      <w:r w:rsidR="00D449D6">
        <w:rPr>
          <w:sz w:val="24"/>
          <w:szCs w:val="24"/>
        </w:rPr>
        <w:t>π.χ. τα συμ</w:t>
      </w:r>
      <w:r w:rsidR="005A6621">
        <w:rPr>
          <w:sz w:val="24"/>
          <w:szCs w:val="24"/>
        </w:rPr>
        <w:t>πτώματα της υγείας και τα προβλήματα ψυχικής υγείας που είναι πιο διαδεδομένα στον μεταναστευτικό πληθυσμό.</w:t>
      </w:r>
    </w:p>
    <w:p w14:paraId="56D35B02" w14:textId="19497C20" w:rsidR="00B237B0" w:rsidRDefault="00D449D6" w:rsidP="00DC1832">
      <w:pPr>
        <w:spacing w:line="360" w:lineRule="auto"/>
        <w:jc w:val="both"/>
        <w:rPr>
          <w:sz w:val="24"/>
          <w:szCs w:val="24"/>
        </w:rPr>
      </w:pPr>
      <w:r w:rsidRPr="00D449D6">
        <w:rPr>
          <w:sz w:val="24"/>
          <w:szCs w:val="24"/>
        </w:rPr>
        <w:t xml:space="preserve"> </w:t>
      </w:r>
      <w:r w:rsidR="0093145D">
        <w:rPr>
          <w:sz w:val="24"/>
          <w:szCs w:val="24"/>
        </w:rPr>
        <w:t xml:space="preserve">Η αντίληψη μιας </w:t>
      </w:r>
      <w:r w:rsidR="00DF1323">
        <w:rPr>
          <w:sz w:val="24"/>
          <w:szCs w:val="24"/>
        </w:rPr>
        <w:t>πάθησης και ο τρόπος αντιμετώπισης της μπορεί να διαφέρει ανάλογα με το πολιτισμικό υπόβαθρο</w:t>
      </w:r>
      <w:r w:rsidR="00DC173D">
        <w:rPr>
          <w:sz w:val="24"/>
          <w:szCs w:val="24"/>
        </w:rPr>
        <w:t xml:space="preserve">. Τα συμπτώματα ερμηνεύονται διαφορετικά </w:t>
      </w:r>
      <w:r w:rsidR="00816881">
        <w:rPr>
          <w:sz w:val="24"/>
          <w:szCs w:val="24"/>
        </w:rPr>
        <w:t>και το σημείο π</w:t>
      </w:r>
      <w:r w:rsidR="00182B89">
        <w:rPr>
          <w:sz w:val="24"/>
          <w:szCs w:val="24"/>
        </w:rPr>
        <w:t>ου απαιτείται ιατρική βοήθεια μπορεί επίσης να ποικίλλει.</w:t>
      </w:r>
      <w:r w:rsidR="006E4CA4">
        <w:rPr>
          <w:sz w:val="24"/>
          <w:szCs w:val="24"/>
        </w:rPr>
        <w:t xml:space="preserve"> Πολιτισμικές διαφορές παρατηρούνται επίσης και στην αξιολόγηση τ</w:t>
      </w:r>
      <w:r w:rsidR="00A146E7">
        <w:rPr>
          <w:sz w:val="24"/>
          <w:szCs w:val="24"/>
        </w:rPr>
        <w:t>ου πότε οι θεραπείες στο σπίτι είναι επαρκείς και πότε είναι απαραίτητη η επίσκεψη σ</w:t>
      </w:r>
      <w:r w:rsidR="008B130B">
        <w:rPr>
          <w:sz w:val="24"/>
          <w:szCs w:val="24"/>
        </w:rPr>
        <w:t xml:space="preserve">το γιατρό. Οι συζητήσεις περί </w:t>
      </w:r>
      <w:r w:rsidR="00F60B80">
        <w:rPr>
          <w:sz w:val="24"/>
          <w:szCs w:val="24"/>
        </w:rPr>
        <w:t>παθήσεων επίσης διαφέρ</w:t>
      </w:r>
      <w:r w:rsidR="007B1246">
        <w:rPr>
          <w:sz w:val="24"/>
          <w:szCs w:val="24"/>
        </w:rPr>
        <w:t>ουν</w:t>
      </w:r>
      <w:r w:rsidR="00F60B80">
        <w:rPr>
          <w:sz w:val="24"/>
          <w:szCs w:val="24"/>
        </w:rPr>
        <w:t xml:space="preserve">: </w:t>
      </w:r>
      <w:r w:rsidR="008011E2">
        <w:rPr>
          <w:sz w:val="24"/>
          <w:szCs w:val="24"/>
        </w:rPr>
        <w:t>υ</w:t>
      </w:r>
      <w:r w:rsidR="000777F8">
        <w:rPr>
          <w:sz w:val="24"/>
          <w:szCs w:val="24"/>
        </w:rPr>
        <w:t xml:space="preserve">πάρχουν παθήσεις που συζητούνται ανάμεσα σε φίλους και άλλες που αντιμετωπίζονται ως ταμπού. </w:t>
      </w:r>
      <w:r w:rsidR="004F5B56">
        <w:rPr>
          <w:sz w:val="24"/>
          <w:szCs w:val="24"/>
        </w:rPr>
        <w:t xml:space="preserve">Ακόμα και η διαδικασία της ανάρρωσης </w:t>
      </w:r>
      <w:r w:rsidR="0029131C">
        <w:rPr>
          <w:sz w:val="24"/>
          <w:szCs w:val="24"/>
        </w:rPr>
        <w:t xml:space="preserve">μπορεί να διαφέρει: π.χ. ένας </w:t>
      </w:r>
      <w:r w:rsidR="00066CAF">
        <w:rPr>
          <w:sz w:val="24"/>
          <w:szCs w:val="24"/>
        </w:rPr>
        <w:t>ασθενής απομακρύνεται από την οικογενειακή ζωή ή η οικογένεια έχει σημαντικό ρόλο στην ανάρρωση του;</w:t>
      </w:r>
      <w:r w:rsidR="0018355F">
        <w:rPr>
          <w:sz w:val="24"/>
          <w:szCs w:val="24"/>
        </w:rPr>
        <w:t xml:space="preserve"> Τι ρόλο έχει η ψηφιακή βοήθεια και πως χρησιμοποιείται; Για την προσωπική σας προετοιμασία, </w:t>
      </w:r>
      <w:r w:rsidR="00687034">
        <w:rPr>
          <w:sz w:val="24"/>
          <w:szCs w:val="24"/>
        </w:rPr>
        <w:t xml:space="preserve">σας προτείνουμε </w:t>
      </w:r>
      <w:r w:rsidR="0018355F">
        <w:rPr>
          <w:sz w:val="24"/>
          <w:szCs w:val="24"/>
        </w:rPr>
        <w:t>να συλλέξετ</w:t>
      </w:r>
      <w:r w:rsidR="00645844">
        <w:rPr>
          <w:sz w:val="24"/>
          <w:szCs w:val="24"/>
        </w:rPr>
        <w:t xml:space="preserve">ε πληροφορίες από </w:t>
      </w:r>
      <w:r w:rsidR="00645844">
        <w:rPr>
          <w:sz w:val="24"/>
          <w:szCs w:val="24"/>
        </w:rPr>
        <w:lastRenderedPageBreak/>
        <w:t xml:space="preserve">συναδέλφους ή από </w:t>
      </w:r>
      <w:r w:rsidR="007D3C34">
        <w:rPr>
          <w:sz w:val="24"/>
          <w:szCs w:val="24"/>
        </w:rPr>
        <w:t xml:space="preserve">οργανισμούς ενίσχυσης μεταναστών ώστε να ευαισθητοποιηθείτε. </w:t>
      </w:r>
    </w:p>
    <w:p w14:paraId="6F193020" w14:textId="29C74BD7" w:rsidR="006F7D01" w:rsidRDefault="007D3C34" w:rsidP="00DC1832">
      <w:pPr>
        <w:spacing w:line="360" w:lineRule="auto"/>
        <w:jc w:val="both"/>
        <w:rPr>
          <w:sz w:val="24"/>
          <w:szCs w:val="24"/>
        </w:rPr>
      </w:pPr>
      <w:r>
        <w:rPr>
          <w:sz w:val="24"/>
          <w:szCs w:val="24"/>
        </w:rPr>
        <w:t>Σύμφωνα με τον ΠΟΥ, τον Παγκόσμιο Οργανισμό Υγείας</w:t>
      </w:r>
      <w:r w:rsidR="001E162D">
        <w:rPr>
          <w:sz w:val="24"/>
          <w:szCs w:val="24"/>
        </w:rPr>
        <w:t xml:space="preserve">, ειδικότερα μεταδοτικές ασθένειες όπως </w:t>
      </w:r>
      <w:r w:rsidR="00631001">
        <w:rPr>
          <w:sz w:val="24"/>
          <w:szCs w:val="24"/>
        </w:rPr>
        <w:t xml:space="preserve">η </w:t>
      </w:r>
      <w:r w:rsidR="004F35A3">
        <w:rPr>
          <w:sz w:val="24"/>
          <w:szCs w:val="24"/>
        </w:rPr>
        <w:t>φυματίωση,</w:t>
      </w:r>
      <w:r w:rsidR="00631001">
        <w:rPr>
          <w:sz w:val="24"/>
          <w:szCs w:val="24"/>
        </w:rPr>
        <w:t xml:space="preserve"> η λοίμωξη </w:t>
      </w:r>
      <w:r w:rsidR="00631001">
        <w:rPr>
          <w:sz w:val="24"/>
          <w:szCs w:val="24"/>
          <w:lang w:val="en-US"/>
        </w:rPr>
        <w:t>HIV</w:t>
      </w:r>
      <w:r w:rsidR="00631001" w:rsidRPr="00631001">
        <w:rPr>
          <w:sz w:val="24"/>
          <w:szCs w:val="24"/>
        </w:rPr>
        <w:t xml:space="preserve">, </w:t>
      </w:r>
      <w:r w:rsidR="00C10929">
        <w:rPr>
          <w:sz w:val="24"/>
          <w:szCs w:val="24"/>
        </w:rPr>
        <w:t xml:space="preserve">η ιογενής ηπατίτιδα, οι </w:t>
      </w:r>
      <w:r w:rsidR="00585974">
        <w:rPr>
          <w:sz w:val="24"/>
          <w:szCs w:val="24"/>
        </w:rPr>
        <w:t xml:space="preserve">αναπνευστικές παθήσεις </w:t>
      </w:r>
      <w:r w:rsidR="007438CF">
        <w:rPr>
          <w:sz w:val="24"/>
          <w:szCs w:val="24"/>
        </w:rPr>
        <w:t xml:space="preserve">και </w:t>
      </w:r>
      <w:r w:rsidR="008F0601">
        <w:rPr>
          <w:sz w:val="24"/>
          <w:szCs w:val="24"/>
        </w:rPr>
        <w:t xml:space="preserve">οι </w:t>
      </w:r>
      <w:r w:rsidR="008011E2">
        <w:rPr>
          <w:sz w:val="24"/>
          <w:szCs w:val="24"/>
        </w:rPr>
        <w:t>μεταδοτικές ασθένειες</w:t>
      </w:r>
      <w:r w:rsidR="007438CF">
        <w:rPr>
          <w:sz w:val="24"/>
          <w:szCs w:val="24"/>
        </w:rPr>
        <w:t xml:space="preserve"> είναι αρκετά συχνές </w:t>
      </w:r>
      <w:r w:rsidR="00931727">
        <w:rPr>
          <w:sz w:val="24"/>
          <w:szCs w:val="24"/>
        </w:rPr>
        <w:t xml:space="preserve">στις κοινότητες μεταναστών. Οι παρακάτω ασθένειες </w:t>
      </w:r>
      <w:r w:rsidR="00342D1F">
        <w:rPr>
          <w:sz w:val="24"/>
          <w:szCs w:val="24"/>
        </w:rPr>
        <w:t xml:space="preserve">παρατηρούνται δυσανάλογα: </w:t>
      </w:r>
      <w:r w:rsidR="00220D63">
        <w:rPr>
          <w:sz w:val="24"/>
          <w:szCs w:val="24"/>
        </w:rPr>
        <w:t xml:space="preserve">καρδιαγγειακές παθήσεις, διαβήτης, καρκίνος και χρόνιες </w:t>
      </w:r>
      <w:r w:rsidR="00CB1807">
        <w:rPr>
          <w:sz w:val="24"/>
          <w:szCs w:val="24"/>
        </w:rPr>
        <w:t>πνευμονικές παθήσεις</w:t>
      </w:r>
      <w:r w:rsidR="00640B5F">
        <w:rPr>
          <w:sz w:val="24"/>
          <w:szCs w:val="24"/>
        </w:rPr>
        <w:t xml:space="preserve">, </w:t>
      </w:r>
      <w:r w:rsidR="00103795">
        <w:rPr>
          <w:sz w:val="24"/>
          <w:szCs w:val="24"/>
        </w:rPr>
        <w:t>εκ των οποίων αρκετές απαιτούν την π</w:t>
      </w:r>
      <w:r w:rsidR="00697A20">
        <w:rPr>
          <w:sz w:val="24"/>
          <w:szCs w:val="24"/>
        </w:rPr>
        <w:t>αροχή συνεχούς φροντίδας για μεγάλο χρονικό διάστημα, συχνά και εφ’ όρ</w:t>
      </w:r>
      <w:r w:rsidR="00B657F7">
        <w:rPr>
          <w:sz w:val="24"/>
          <w:szCs w:val="24"/>
        </w:rPr>
        <w:t>ου</w:t>
      </w:r>
      <w:r w:rsidR="00697A20">
        <w:rPr>
          <w:sz w:val="24"/>
          <w:szCs w:val="24"/>
        </w:rPr>
        <w:t xml:space="preserve"> ζωής</w:t>
      </w:r>
      <w:r w:rsidR="00B657F7">
        <w:rPr>
          <w:sz w:val="24"/>
          <w:szCs w:val="24"/>
        </w:rPr>
        <w:t>.</w:t>
      </w:r>
      <w:r w:rsidR="00841030">
        <w:rPr>
          <w:sz w:val="24"/>
          <w:szCs w:val="24"/>
        </w:rPr>
        <w:t xml:space="preserve"> Είναι πιθανό</w:t>
      </w:r>
      <w:r w:rsidR="00B237B0">
        <w:rPr>
          <w:sz w:val="24"/>
          <w:szCs w:val="24"/>
        </w:rPr>
        <w:t>ν</w:t>
      </w:r>
      <w:r w:rsidR="00841030">
        <w:rPr>
          <w:sz w:val="24"/>
          <w:szCs w:val="24"/>
        </w:rPr>
        <w:t xml:space="preserve"> οι εκπαιδευόμενοι σας να γνωρίζουν για τις πιο συχνές ασθένει</w:t>
      </w:r>
      <w:r w:rsidR="004930B9">
        <w:rPr>
          <w:sz w:val="24"/>
          <w:szCs w:val="24"/>
        </w:rPr>
        <w:t xml:space="preserve">ες, αλλά ο τρόπος αντιμετώπισης τους για την </w:t>
      </w:r>
      <w:r w:rsidR="002E7E5D">
        <w:rPr>
          <w:sz w:val="24"/>
          <w:szCs w:val="24"/>
        </w:rPr>
        <w:t>μεγιστοποίηση των πιθανοτήτων ανάρρωσης δεν είναι πάντα ξεκάθαρο</w:t>
      </w:r>
      <w:r w:rsidR="00910853">
        <w:rPr>
          <w:sz w:val="24"/>
          <w:szCs w:val="24"/>
        </w:rPr>
        <w:t>ς</w:t>
      </w:r>
      <w:r w:rsidR="002E7E5D">
        <w:rPr>
          <w:sz w:val="24"/>
          <w:szCs w:val="24"/>
        </w:rPr>
        <w:t xml:space="preserve">. </w:t>
      </w:r>
      <w:r w:rsidR="00935D12">
        <w:rPr>
          <w:sz w:val="24"/>
          <w:szCs w:val="24"/>
        </w:rPr>
        <w:t xml:space="preserve">Συχνά δεν γνωρίζουν σε ποιο σημείο η </w:t>
      </w:r>
      <w:r w:rsidR="00F026A6">
        <w:rPr>
          <w:sz w:val="24"/>
          <w:szCs w:val="24"/>
        </w:rPr>
        <w:t>ιατρική</w:t>
      </w:r>
      <w:r w:rsidR="00935D12">
        <w:rPr>
          <w:sz w:val="24"/>
          <w:szCs w:val="24"/>
        </w:rPr>
        <w:t xml:space="preserve"> βοήθεια και </w:t>
      </w:r>
      <w:r w:rsidR="00276170">
        <w:rPr>
          <w:sz w:val="24"/>
          <w:szCs w:val="24"/>
        </w:rPr>
        <w:t xml:space="preserve">η φαρμακευτική αγωγή είναι απαραίτητη για να </w:t>
      </w:r>
      <w:r w:rsidR="00F026A6">
        <w:rPr>
          <w:sz w:val="24"/>
          <w:szCs w:val="24"/>
        </w:rPr>
        <w:t xml:space="preserve">καταπραΰνει τα συμπτώματα και να αποφευχθεί </w:t>
      </w:r>
      <w:r w:rsidR="007C2ED2">
        <w:rPr>
          <w:sz w:val="24"/>
          <w:szCs w:val="24"/>
        </w:rPr>
        <w:t xml:space="preserve">η </w:t>
      </w:r>
      <w:r w:rsidR="00F026A6">
        <w:rPr>
          <w:sz w:val="24"/>
          <w:szCs w:val="24"/>
        </w:rPr>
        <w:t>περαιτέρω ιατρική ζημιά</w:t>
      </w:r>
      <w:r w:rsidR="007C2ED2">
        <w:rPr>
          <w:sz w:val="24"/>
          <w:szCs w:val="24"/>
        </w:rPr>
        <w:t xml:space="preserve">. </w:t>
      </w:r>
      <w:r w:rsidR="006F7D01">
        <w:rPr>
          <w:sz w:val="24"/>
          <w:szCs w:val="24"/>
        </w:rPr>
        <w:t>Η ευαισθητοποίηση σχετικά με αυτό το γεγονός είναι και ο στόχος της εκπαίδευσης σας.</w:t>
      </w:r>
    </w:p>
    <w:p w14:paraId="703333CB" w14:textId="336F9C8A" w:rsidR="0076565B" w:rsidRDefault="00ED2520" w:rsidP="00DC1832">
      <w:pPr>
        <w:spacing w:line="360" w:lineRule="auto"/>
        <w:jc w:val="both"/>
        <w:rPr>
          <w:sz w:val="24"/>
          <w:szCs w:val="24"/>
        </w:rPr>
      </w:pPr>
      <w:r>
        <w:rPr>
          <w:sz w:val="24"/>
          <w:szCs w:val="24"/>
        </w:rPr>
        <w:t xml:space="preserve">Αν και </w:t>
      </w:r>
      <w:r w:rsidR="006A1AA0">
        <w:rPr>
          <w:sz w:val="24"/>
          <w:szCs w:val="24"/>
        </w:rPr>
        <w:t xml:space="preserve">η πρόταση συγκεκριμένων ενεργειών για την υγεία είναι δουλειά του γιατρού, μπορείτε να </w:t>
      </w:r>
      <w:r w:rsidR="009275B8">
        <w:rPr>
          <w:sz w:val="24"/>
          <w:szCs w:val="24"/>
        </w:rPr>
        <w:t xml:space="preserve">ενημερώσετε τους εκπαιδευόμενους σας για τους διαφορετικούς τρόπους με τους οποίους μπορούν να λάβουν </w:t>
      </w:r>
      <w:r w:rsidR="009C7690">
        <w:rPr>
          <w:sz w:val="24"/>
          <w:szCs w:val="24"/>
        </w:rPr>
        <w:t>ιατρική περίθαλψη: σε φαρμακείο, σε ιατρείο</w:t>
      </w:r>
      <w:r w:rsidR="00BD1F61">
        <w:rPr>
          <w:sz w:val="24"/>
          <w:szCs w:val="24"/>
        </w:rPr>
        <w:t>, με κατ</w:t>
      </w:r>
      <w:r w:rsidR="00884E0C">
        <w:rPr>
          <w:sz w:val="24"/>
          <w:szCs w:val="24"/>
        </w:rPr>
        <w:t xml:space="preserve">’ </w:t>
      </w:r>
      <w:r w:rsidR="00BD1F61">
        <w:rPr>
          <w:sz w:val="24"/>
          <w:szCs w:val="24"/>
        </w:rPr>
        <w:t xml:space="preserve">οίκον επίσκεψη </w:t>
      </w:r>
      <w:r w:rsidR="008000E7">
        <w:rPr>
          <w:sz w:val="24"/>
          <w:szCs w:val="24"/>
        </w:rPr>
        <w:t>του γιατρού</w:t>
      </w:r>
      <w:r w:rsidR="00884E0C">
        <w:rPr>
          <w:sz w:val="24"/>
          <w:szCs w:val="24"/>
        </w:rPr>
        <w:t xml:space="preserve">, </w:t>
      </w:r>
      <w:r w:rsidR="0075525F">
        <w:rPr>
          <w:sz w:val="24"/>
          <w:szCs w:val="24"/>
        </w:rPr>
        <w:t>στα επείγοντα ενός νοσοκομείο</w:t>
      </w:r>
      <w:r w:rsidR="00C248CC">
        <w:rPr>
          <w:sz w:val="24"/>
          <w:szCs w:val="24"/>
        </w:rPr>
        <w:t>υ</w:t>
      </w:r>
      <w:r w:rsidR="0075525F">
        <w:rPr>
          <w:sz w:val="24"/>
          <w:szCs w:val="24"/>
        </w:rPr>
        <w:t xml:space="preserve"> και ψηφιακά. Οι εκπαιδευόμενοι πρέπει να είναι ενημερωμένοι ότι όλο και περισσότεροι γιατροί </w:t>
      </w:r>
      <w:r w:rsidR="00233BFE">
        <w:rPr>
          <w:sz w:val="24"/>
          <w:szCs w:val="24"/>
        </w:rPr>
        <w:t>προσφέρουν ψηφιακή θεραπεία, ιδιαίτερα σε περιόδ</w:t>
      </w:r>
      <w:r w:rsidR="004F367A">
        <w:rPr>
          <w:sz w:val="24"/>
          <w:szCs w:val="24"/>
        </w:rPr>
        <w:t xml:space="preserve">ους πανδημίας. Ωστόσο, υπάρχουν ορισμένες προϋποθέσεις, αφού σύμφωνα </w:t>
      </w:r>
      <w:r w:rsidR="002D01DF">
        <w:rPr>
          <w:sz w:val="24"/>
          <w:szCs w:val="24"/>
        </w:rPr>
        <w:t>με τον κανονισμό, ο γιατρός οφείλει να καταγράφει τ</w:t>
      </w:r>
      <w:r w:rsidR="00B2761F">
        <w:rPr>
          <w:sz w:val="24"/>
          <w:szCs w:val="24"/>
        </w:rPr>
        <w:t xml:space="preserve">η κατάσταση υγείας του ασθενούς κάθε φορά. Για τους εκπαιδευόμενους σας, η ψηφιακή θεραπεία μπορεί να έχει αρκετά πλεονεκτήματα, αφού μπορεί να </w:t>
      </w:r>
      <w:r w:rsidR="0076565B">
        <w:rPr>
          <w:sz w:val="24"/>
          <w:szCs w:val="24"/>
        </w:rPr>
        <w:t>γίνει μέσω κινητού τηλεφώνου και ο μετανάστης δεν χρειάζεται να επισκεφθεί το ιατρείο.</w:t>
      </w:r>
    </w:p>
    <w:p w14:paraId="790D7A1C" w14:textId="5BD52FC6" w:rsidR="000D452B" w:rsidRDefault="00062980" w:rsidP="00DC1832">
      <w:pPr>
        <w:spacing w:line="360" w:lineRule="auto"/>
        <w:jc w:val="both"/>
        <w:rPr>
          <w:sz w:val="24"/>
          <w:szCs w:val="24"/>
        </w:rPr>
      </w:pPr>
      <w:r>
        <w:rPr>
          <w:sz w:val="24"/>
          <w:szCs w:val="24"/>
        </w:rPr>
        <w:t xml:space="preserve">Οι συζητήσεις περί ψυχικής υγείας ίσως να αποτελούν πιο ευαίσθητα θέματα </w:t>
      </w:r>
      <w:r w:rsidR="00D74986">
        <w:rPr>
          <w:sz w:val="24"/>
          <w:szCs w:val="24"/>
        </w:rPr>
        <w:t xml:space="preserve">και </w:t>
      </w:r>
      <w:r>
        <w:rPr>
          <w:sz w:val="24"/>
          <w:szCs w:val="24"/>
        </w:rPr>
        <w:t xml:space="preserve">για ορισμένες ομάδες (π.χ. </w:t>
      </w:r>
      <w:r w:rsidR="00D74986">
        <w:rPr>
          <w:sz w:val="24"/>
          <w:szCs w:val="24"/>
        </w:rPr>
        <w:t>πρόσφυγες)</w:t>
      </w:r>
      <w:r w:rsidR="004F367A">
        <w:rPr>
          <w:sz w:val="24"/>
          <w:szCs w:val="24"/>
        </w:rPr>
        <w:t xml:space="preserve"> </w:t>
      </w:r>
      <w:r w:rsidR="00D74986">
        <w:rPr>
          <w:sz w:val="24"/>
          <w:szCs w:val="24"/>
        </w:rPr>
        <w:t xml:space="preserve">η πρόσβαση σε </w:t>
      </w:r>
      <w:r w:rsidR="0090318B">
        <w:rPr>
          <w:sz w:val="24"/>
          <w:szCs w:val="24"/>
        </w:rPr>
        <w:t xml:space="preserve">συμβουλευτική, </w:t>
      </w:r>
      <w:r w:rsidR="00C130D9">
        <w:rPr>
          <w:sz w:val="24"/>
          <w:szCs w:val="24"/>
        </w:rPr>
        <w:t xml:space="preserve">αγωγή και θεραπεία (από κοντά και </w:t>
      </w:r>
      <w:r w:rsidR="00616176">
        <w:rPr>
          <w:sz w:val="24"/>
          <w:szCs w:val="24"/>
        </w:rPr>
        <w:t xml:space="preserve">διαδικτυακά) δεν είναι πάντα </w:t>
      </w:r>
      <w:r w:rsidR="00344F53">
        <w:rPr>
          <w:sz w:val="24"/>
          <w:szCs w:val="24"/>
        </w:rPr>
        <w:t xml:space="preserve">εύκολη σε σύντομο χρονικό </w:t>
      </w:r>
      <w:r w:rsidR="00344F53">
        <w:rPr>
          <w:sz w:val="24"/>
          <w:szCs w:val="24"/>
        </w:rPr>
        <w:lastRenderedPageBreak/>
        <w:t>διάστημα.</w:t>
      </w:r>
      <w:r w:rsidR="00877689">
        <w:rPr>
          <w:sz w:val="24"/>
          <w:szCs w:val="24"/>
        </w:rPr>
        <w:t xml:space="preserve"> Οι πρόσφυγες με </w:t>
      </w:r>
      <w:proofErr w:type="spellStart"/>
      <w:r w:rsidR="00877689">
        <w:rPr>
          <w:sz w:val="24"/>
          <w:szCs w:val="24"/>
        </w:rPr>
        <w:t>μετατραυματικό</w:t>
      </w:r>
      <w:proofErr w:type="spellEnd"/>
      <w:r w:rsidR="00877689">
        <w:rPr>
          <w:sz w:val="24"/>
          <w:szCs w:val="24"/>
        </w:rPr>
        <w:t xml:space="preserve"> στρες είναι</w:t>
      </w:r>
      <w:r w:rsidR="00CB4306">
        <w:rPr>
          <w:sz w:val="24"/>
          <w:szCs w:val="24"/>
        </w:rPr>
        <w:t xml:space="preserve"> μια ευάλωτη ομάδα, για τους οποίους λίγες </w:t>
      </w:r>
      <w:r w:rsidR="006F4B17">
        <w:rPr>
          <w:sz w:val="24"/>
          <w:szCs w:val="24"/>
        </w:rPr>
        <w:t xml:space="preserve">προληπτικές και θεραπευτικές επιλογές είναι διαθέσιμες. </w:t>
      </w:r>
      <w:r w:rsidR="00F35375">
        <w:rPr>
          <w:sz w:val="24"/>
          <w:szCs w:val="24"/>
        </w:rPr>
        <w:t xml:space="preserve">Οι πολιτισμικά ευαισθητοποιημένες προσεγγίσεις </w:t>
      </w:r>
      <w:r w:rsidR="003717E9">
        <w:rPr>
          <w:sz w:val="24"/>
          <w:szCs w:val="24"/>
        </w:rPr>
        <w:t>ένταξης στην θεραπεία των προσφύγων αντιμετωπίζουν π</w:t>
      </w:r>
      <w:r w:rsidR="00204D05">
        <w:rPr>
          <w:sz w:val="24"/>
          <w:szCs w:val="24"/>
        </w:rPr>
        <w:t xml:space="preserve">ολύπλοκες προκλήσεις, όπως </w:t>
      </w:r>
      <w:r w:rsidR="00940438">
        <w:rPr>
          <w:sz w:val="24"/>
          <w:szCs w:val="24"/>
        </w:rPr>
        <w:t xml:space="preserve">οι </w:t>
      </w:r>
      <w:r w:rsidR="00145138">
        <w:rPr>
          <w:sz w:val="24"/>
          <w:szCs w:val="24"/>
        </w:rPr>
        <w:t>πολιτισμι</w:t>
      </w:r>
      <w:r w:rsidR="0089043F">
        <w:rPr>
          <w:sz w:val="24"/>
          <w:szCs w:val="24"/>
        </w:rPr>
        <w:t>κοί και γλωσσικοί φραγμοί</w:t>
      </w:r>
      <w:r w:rsidR="00145138">
        <w:rPr>
          <w:sz w:val="24"/>
          <w:szCs w:val="24"/>
        </w:rPr>
        <w:t xml:space="preserve">, που απαιτούν εξειδίκευση από </w:t>
      </w:r>
      <w:r w:rsidR="0089043F">
        <w:rPr>
          <w:sz w:val="24"/>
          <w:szCs w:val="24"/>
        </w:rPr>
        <w:t>την πλευρά</w:t>
      </w:r>
      <w:r w:rsidR="00145138">
        <w:rPr>
          <w:sz w:val="24"/>
          <w:szCs w:val="24"/>
        </w:rPr>
        <w:t xml:space="preserve"> των ειδικών </w:t>
      </w:r>
      <w:r w:rsidR="0089043F">
        <w:rPr>
          <w:sz w:val="24"/>
          <w:szCs w:val="24"/>
        </w:rPr>
        <w:t>γιατρών.</w:t>
      </w:r>
      <w:r w:rsidR="002532AA">
        <w:rPr>
          <w:sz w:val="24"/>
          <w:szCs w:val="24"/>
        </w:rPr>
        <w:t xml:space="preserve"> Παράλληλα, όμως, είναι ευρέως γνωστό πως οι </w:t>
      </w:r>
      <w:r w:rsidR="00B82BAF">
        <w:rPr>
          <w:sz w:val="24"/>
          <w:szCs w:val="24"/>
        </w:rPr>
        <w:t xml:space="preserve">ψυχικές διαταραχές αποτελούν </w:t>
      </w:r>
      <w:r w:rsidR="002E01C4">
        <w:rPr>
          <w:sz w:val="24"/>
          <w:szCs w:val="24"/>
        </w:rPr>
        <w:t xml:space="preserve">συχνό </w:t>
      </w:r>
      <w:r w:rsidR="0082560A">
        <w:rPr>
          <w:sz w:val="24"/>
          <w:szCs w:val="24"/>
        </w:rPr>
        <w:t>ζήτημα των μεταναστευτικών κοινοτήτων και θα πρέπει να συζ</w:t>
      </w:r>
      <w:r w:rsidR="00363058">
        <w:rPr>
          <w:sz w:val="24"/>
          <w:szCs w:val="24"/>
        </w:rPr>
        <w:t xml:space="preserve">ητείται στην εκπαίδευση. Το εκπαιδευτικό υλικό περιέχει διάφορες ασκήσεις και προτάσεις για </w:t>
      </w:r>
      <w:r w:rsidR="000D452B">
        <w:rPr>
          <w:sz w:val="24"/>
          <w:szCs w:val="24"/>
        </w:rPr>
        <w:t xml:space="preserve">την εφαρμογή των μέτρων. </w:t>
      </w:r>
    </w:p>
    <w:p w14:paraId="501C03B6" w14:textId="1C96B060" w:rsidR="0043250A" w:rsidRDefault="000D452B" w:rsidP="00DC1832">
      <w:pPr>
        <w:spacing w:line="360" w:lineRule="auto"/>
        <w:jc w:val="both"/>
        <w:rPr>
          <w:sz w:val="24"/>
          <w:szCs w:val="24"/>
        </w:rPr>
      </w:pPr>
      <w:r>
        <w:rPr>
          <w:sz w:val="24"/>
          <w:szCs w:val="24"/>
        </w:rPr>
        <w:t xml:space="preserve">Σε </w:t>
      </w:r>
      <w:r w:rsidR="0071542C">
        <w:rPr>
          <w:sz w:val="24"/>
          <w:szCs w:val="24"/>
        </w:rPr>
        <w:t xml:space="preserve">κάθε περίπτωση, θα πρέπει να κάνετε ξεκάθαρο στους εκπαιδευόμενους ότι </w:t>
      </w:r>
      <w:r w:rsidR="0043250A">
        <w:rPr>
          <w:sz w:val="24"/>
          <w:szCs w:val="24"/>
        </w:rPr>
        <w:t>θα πρέπει πάντα να συμβουλεύονται τον γιατρό τους για την διάγνωση και την θεραπεία.</w:t>
      </w:r>
    </w:p>
    <w:p w14:paraId="2793C308" w14:textId="4B2DFD8F" w:rsidR="0043250A" w:rsidRPr="008011E2" w:rsidRDefault="0043250A" w:rsidP="008011E2">
      <w:pPr>
        <w:pStyle w:val="1"/>
        <w:numPr>
          <w:ilvl w:val="1"/>
          <w:numId w:val="5"/>
        </w:numPr>
        <w:rPr>
          <w:lang w:val="el-GR" w:eastAsia="en-GB"/>
        </w:rPr>
      </w:pPr>
      <w:bookmarkStart w:id="6" w:name="_Toc108446576"/>
      <w:r w:rsidRPr="008011E2">
        <w:rPr>
          <w:lang w:val="el-GR" w:eastAsia="en-GB"/>
        </w:rPr>
        <w:t>Στρατηγικές πρόληψης</w:t>
      </w:r>
      <w:bookmarkEnd w:id="6"/>
    </w:p>
    <w:p w14:paraId="28D3ACEB" w14:textId="4565990D" w:rsidR="0043250A" w:rsidRDefault="00F92987" w:rsidP="00DC1832">
      <w:pPr>
        <w:spacing w:line="360" w:lineRule="auto"/>
        <w:jc w:val="both"/>
        <w:rPr>
          <w:sz w:val="24"/>
          <w:szCs w:val="24"/>
        </w:rPr>
      </w:pPr>
      <w:r>
        <w:rPr>
          <w:sz w:val="24"/>
          <w:szCs w:val="24"/>
        </w:rPr>
        <w:t xml:space="preserve">Το συγκεκριμένο κομμάτι της εκπαίδευσης στοχεύει στην ενημέρωση της πρόληψης ασθενειών, διερευνώντας τις πιο </w:t>
      </w:r>
      <w:r w:rsidR="00540185">
        <w:rPr>
          <w:sz w:val="24"/>
          <w:szCs w:val="24"/>
        </w:rPr>
        <w:t>συχνές στρατηγικές πρόληψης, καθώς και στην κατανόηση της σημασίας υιοθέτησης αυτών των στρατηγικών. Ο ρόλος σας ως εκπα</w:t>
      </w:r>
      <w:r w:rsidR="009F35C7">
        <w:rPr>
          <w:sz w:val="24"/>
          <w:szCs w:val="24"/>
        </w:rPr>
        <w:t xml:space="preserve">ιδευτής είναι να επικοινωνήσετε τις ανάλογες πληροφορίες (π.χ. σχετικά με σημαντικά ζητήματα όπως ο εμβολιασμός, </w:t>
      </w:r>
      <w:r w:rsidR="006368AA">
        <w:rPr>
          <w:sz w:val="24"/>
          <w:szCs w:val="24"/>
        </w:rPr>
        <w:t xml:space="preserve">ασθένειες που προλαμβάνονται με τον εμβολιασμό, </w:t>
      </w:r>
      <w:r w:rsidR="006E4A68">
        <w:rPr>
          <w:sz w:val="24"/>
          <w:szCs w:val="24"/>
        </w:rPr>
        <w:t>η διατροφή (περιλαμβανομένου της θεραπείες και πρόληψης τ</w:t>
      </w:r>
      <w:r w:rsidR="00F52C31">
        <w:rPr>
          <w:sz w:val="24"/>
          <w:szCs w:val="24"/>
        </w:rPr>
        <w:t xml:space="preserve">ου υποσιτισμού), </w:t>
      </w:r>
      <w:r w:rsidR="00F75DCA">
        <w:rPr>
          <w:sz w:val="24"/>
          <w:szCs w:val="24"/>
        </w:rPr>
        <w:t xml:space="preserve">τις αρνητικές επιπτώσεις του αλκοόλ και του καπνίσματος, την σημασία της υιοθέτησης της φυσικής άσκησης στην ζωή τους, και </w:t>
      </w:r>
      <w:r w:rsidR="00E71CCE">
        <w:rPr>
          <w:sz w:val="24"/>
          <w:szCs w:val="24"/>
        </w:rPr>
        <w:t xml:space="preserve">τους ελέγχους που </w:t>
      </w:r>
      <w:r w:rsidR="005932FC">
        <w:rPr>
          <w:sz w:val="24"/>
          <w:szCs w:val="24"/>
        </w:rPr>
        <w:t xml:space="preserve">συστήνονται για τις χρόνιες και άλλες </w:t>
      </w:r>
      <w:r w:rsidR="00E67071">
        <w:rPr>
          <w:sz w:val="24"/>
          <w:szCs w:val="24"/>
        </w:rPr>
        <w:t>παθήσεις</w:t>
      </w:r>
      <w:r w:rsidR="005932FC">
        <w:rPr>
          <w:sz w:val="24"/>
          <w:szCs w:val="24"/>
        </w:rPr>
        <w:t xml:space="preserve">. </w:t>
      </w:r>
      <w:r w:rsidR="009C54EF">
        <w:rPr>
          <w:sz w:val="24"/>
          <w:szCs w:val="24"/>
        </w:rPr>
        <w:t xml:space="preserve">Παράλληλα η τήρηση των κανόνων υγιεινής είναι </w:t>
      </w:r>
      <w:r w:rsidR="00E73449">
        <w:rPr>
          <w:sz w:val="24"/>
          <w:szCs w:val="24"/>
        </w:rPr>
        <w:t xml:space="preserve">μια </w:t>
      </w:r>
      <w:r w:rsidR="00620758">
        <w:rPr>
          <w:sz w:val="24"/>
          <w:szCs w:val="24"/>
        </w:rPr>
        <w:t>σημαντική και εύκολη στρατηγική πρωτογενούς πρόληψης που θα πρέπει επίσης να συζητηθεί.</w:t>
      </w:r>
    </w:p>
    <w:p w14:paraId="1D21A6A6" w14:textId="3FCD6EC1" w:rsidR="004232DD" w:rsidRDefault="00F1309D" w:rsidP="00DC1832">
      <w:pPr>
        <w:spacing w:line="360" w:lineRule="auto"/>
        <w:jc w:val="both"/>
        <w:rPr>
          <w:sz w:val="24"/>
          <w:szCs w:val="24"/>
        </w:rPr>
      </w:pPr>
      <w:r>
        <w:rPr>
          <w:sz w:val="24"/>
          <w:szCs w:val="24"/>
        </w:rPr>
        <w:t xml:space="preserve">Επιπλέον, σας ενθαρρύνουμε να ανοίξετε μια συζήτηση σχετικά με τις γνώσεις τους γύρω από </w:t>
      </w:r>
      <w:r w:rsidR="00A451FD">
        <w:rPr>
          <w:sz w:val="24"/>
          <w:szCs w:val="24"/>
        </w:rPr>
        <w:t>τ</w:t>
      </w:r>
      <w:r w:rsidR="009117D3">
        <w:rPr>
          <w:sz w:val="24"/>
          <w:szCs w:val="24"/>
        </w:rPr>
        <w:t>ο</w:t>
      </w:r>
      <w:r w:rsidR="00A16EB6">
        <w:rPr>
          <w:sz w:val="24"/>
          <w:szCs w:val="24"/>
        </w:rPr>
        <w:t>ν</w:t>
      </w:r>
      <w:r w:rsidR="009117D3">
        <w:rPr>
          <w:sz w:val="24"/>
          <w:szCs w:val="24"/>
        </w:rPr>
        <w:t xml:space="preserve"> εμβολιασμό που συστήνεται τόσο στην χώρα προέλευσης όσο και στην χώρα </w:t>
      </w:r>
      <w:r w:rsidR="00D63027">
        <w:rPr>
          <w:sz w:val="24"/>
          <w:szCs w:val="24"/>
        </w:rPr>
        <w:t xml:space="preserve">υποδοχής και πόσο </w:t>
      </w:r>
      <w:r w:rsidR="00CB721E">
        <w:rPr>
          <w:sz w:val="24"/>
          <w:szCs w:val="24"/>
        </w:rPr>
        <w:t xml:space="preserve">άνετοι είναι να ψάξουν το εθνικό </w:t>
      </w:r>
      <w:r w:rsidR="001E25FB">
        <w:rPr>
          <w:sz w:val="24"/>
          <w:szCs w:val="24"/>
        </w:rPr>
        <w:t xml:space="preserve">εμβολιαστικό πρόγραμμα της χώρας υποδοχής για παιδιά/εφήβους και ενήλικες. Σε περίπτωση που η ομάδα εκπαιδευόμενων σας αποτελείται κυρίως από γυναίκες, παρακαλείστε </w:t>
      </w:r>
      <w:r w:rsidR="001E25FB">
        <w:rPr>
          <w:sz w:val="24"/>
          <w:szCs w:val="24"/>
        </w:rPr>
        <w:lastRenderedPageBreak/>
        <w:t xml:space="preserve">να </w:t>
      </w:r>
      <w:r w:rsidR="000848F7">
        <w:rPr>
          <w:sz w:val="24"/>
          <w:szCs w:val="24"/>
        </w:rPr>
        <w:t>επικεντρωθείτε σε ιδιαίτερα ζητήματα, όπως η πρόληψη της γυναικείας υγείας, η ε</w:t>
      </w:r>
      <w:r w:rsidR="001A72B6">
        <w:rPr>
          <w:sz w:val="24"/>
          <w:szCs w:val="24"/>
        </w:rPr>
        <w:t xml:space="preserve">γκυμοσύνη, η παιδική και βρεφική φροντίδα </w:t>
      </w:r>
      <w:r w:rsidR="004232DD">
        <w:rPr>
          <w:sz w:val="24"/>
          <w:szCs w:val="24"/>
        </w:rPr>
        <w:t>που μπορούν να βρεθούν στα παραρτήματα της ενότητας.</w:t>
      </w:r>
    </w:p>
    <w:p w14:paraId="6E09441D" w14:textId="6B1DE9AA" w:rsidR="00A30F31" w:rsidRDefault="004232DD" w:rsidP="00DC1832">
      <w:pPr>
        <w:spacing w:line="360" w:lineRule="auto"/>
        <w:jc w:val="both"/>
        <w:rPr>
          <w:sz w:val="24"/>
          <w:szCs w:val="24"/>
        </w:rPr>
      </w:pPr>
      <w:r>
        <w:rPr>
          <w:sz w:val="24"/>
          <w:szCs w:val="24"/>
        </w:rPr>
        <w:t xml:space="preserve">Σε περίπτωση που </w:t>
      </w:r>
      <w:r w:rsidR="00DA0B6F">
        <w:rPr>
          <w:sz w:val="24"/>
          <w:szCs w:val="24"/>
        </w:rPr>
        <w:t xml:space="preserve">υπάρχει ιδιαίτερο ενδιαφέρον από κάποια ομάδα για την ψυχική υγεία, </w:t>
      </w:r>
      <w:r w:rsidR="006B7606">
        <w:rPr>
          <w:sz w:val="24"/>
          <w:szCs w:val="24"/>
        </w:rPr>
        <w:t xml:space="preserve">η εκπαίδευση περιλαμβάνει υλικό σχετικά με την ταυτοποίηση των προβλημάτων ψυχικής υγείας και </w:t>
      </w:r>
      <w:r w:rsidR="00E85E44">
        <w:rPr>
          <w:sz w:val="24"/>
          <w:szCs w:val="24"/>
        </w:rPr>
        <w:t xml:space="preserve">στα παραρτήματα περιλαμβάνεται επίσης </w:t>
      </w:r>
      <w:r w:rsidR="00D50B41">
        <w:rPr>
          <w:sz w:val="24"/>
          <w:szCs w:val="24"/>
        </w:rPr>
        <w:t>υλικό για την ανάπτυξη ανθεκτικότητας της ψυχικής υγείας.</w:t>
      </w:r>
    </w:p>
    <w:p w14:paraId="67666A67" w14:textId="759A03E8" w:rsidR="00883D22" w:rsidRPr="008011E2" w:rsidRDefault="008011E2" w:rsidP="008011E2">
      <w:pPr>
        <w:pStyle w:val="1"/>
        <w:ind w:left="426" w:hanging="426"/>
        <w:rPr>
          <w:lang w:val="el-GR" w:eastAsia="en-GB"/>
        </w:rPr>
      </w:pPr>
      <w:bookmarkStart w:id="7" w:name="_Toc108446577"/>
      <w:r>
        <w:rPr>
          <w:lang w:val="el-GR" w:eastAsia="en-GB"/>
        </w:rPr>
        <w:t>2.5 Βιβλιογραφία</w:t>
      </w:r>
      <w:bookmarkEnd w:id="7"/>
      <w:r w:rsidR="00E85E44" w:rsidRPr="008011E2">
        <w:rPr>
          <w:lang w:val="el-GR" w:eastAsia="en-GB"/>
        </w:rPr>
        <w:t xml:space="preserve"> </w:t>
      </w:r>
    </w:p>
    <w:p w14:paraId="36FF9B73" w14:textId="5D9AA3FF" w:rsidR="00566AD3" w:rsidRDefault="00214979" w:rsidP="00DC1832">
      <w:pPr>
        <w:spacing w:line="360" w:lineRule="auto"/>
        <w:jc w:val="both"/>
      </w:pPr>
      <w:r>
        <w:t xml:space="preserve">Για περεταίρω </w:t>
      </w:r>
      <w:r w:rsidR="00B41721">
        <w:t>ανάγνωση, συνιστάται η ακόλουθη βιβλιογραφία:</w:t>
      </w:r>
    </w:p>
    <w:p w14:paraId="5F8DECEF"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lang w:val="en-US" w:eastAsia="el-GR" w:bidi="ar-SA"/>
        </w:rPr>
      </w:pPr>
      <w:r w:rsidRPr="00883D22">
        <w:rPr>
          <w:rFonts w:ascii="Calibri" w:eastAsia="Calibri" w:hAnsi="Calibri" w:cs="Calibri"/>
          <w:lang w:val="en-US" w:eastAsia="el-GR" w:bidi="ar-SA"/>
        </w:rPr>
        <w:t xml:space="preserve">Bryce, E., </w:t>
      </w:r>
      <w:proofErr w:type="spellStart"/>
      <w:r w:rsidRPr="00883D22">
        <w:rPr>
          <w:rFonts w:ascii="Calibri" w:eastAsia="Calibri" w:hAnsi="Calibri" w:cs="Calibri"/>
          <w:lang w:val="en-US" w:eastAsia="el-GR" w:bidi="ar-SA"/>
        </w:rPr>
        <w:t>Mullany</w:t>
      </w:r>
      <w:proofErr w:type="spellEnd"/>
      <w:r w:rsidRPr="00883D22">
        <w:rPr>
          <w:rFonts w:ascii="Calibri" w:eastAsia="Calibri" w:hAnsi="Calibri" w:cs="Calibri"/>
          <w:lang w:val="en-US" w:eastAsia="el-GR" w:bidi="ar-SA"/>
        </w:rPr>
        <w:t xml:space="preserve">, L.C., </w:t>
      </w:r>
      <w:proofErr w:type="spellStart"/>
      <w:r w:rsidRPr="00883D22">
        <w:rPr>
          <w:rFonts w:ascii="Calibri" w:eastAsia="Calibri" w:hAnsi="Calibri" w:cs="Calibri"/>
          <w:lang w:val="en-US" w:eastAsia="el-GR" w:bidi="ar-SA"/>
        </w:rPr>
        <w:t>Khatry</w:t>
      </w:r>
      <w:proofErr w:type="spellEnd"/>
      <w:r w:rsidRPr="00883D22">
        <w:rPr>
          <w:rFonts w:ascii="Calibri" w:eastAsia="Calibri" w:hAnsi="Calibri" w:cs="Calibri"/>
          <w:lang w:val="en-US" w:eastAsia="el-GR" w:bidi="ar-SA"/>
        </w:rPr>
        <w:t>, S.K. et al. 2020. Coverage of the WHO’s four essential elements of newborn care and their association with neonatal survival in southern Nepal. BMC Pregnancy Childbirth 20, 540 https://doi.org/10.1186/s12884-020-03239-6</w:t>
      </w:r>
    </w:p>
    <w:p w14:paraId="62C78934"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lang w:val="en-US" w:eastAsia="el-GR" w:bidi="ar-SA"/>
        </w:rPr>
      </w:pPr>
      <w:proofErr w:type="spellStart"/>
      <w:r w:rsidRPr="00883D22">
        <w:rPr>
          <w:rFonts w:ascii="Calibri" w:eastAsia="Calibri" w:hAnsi="Calibri" w:cs="Calibri"/>
          <w:lang w:val="en-US" w:eastAsia="el-GR" w:bidi="ar-SA"/>
        </w:rPr>
        <w:t>Carr</w:t>
      </w:r>
      <w:proofErr w:type="spellEnd"/>
      <w:r w:rsidRPr="00883D22">
        <w:rPr>
          <w:rFonts w:ascii="Calibri" w:eastAsia="Calibri" w:hAnsi="Calibri" w:cs="Calibri"/>
          <w:lang w:val="en-US" w:eastAsia="el-GR" w:bidi="ar-SA"/>
        </w:rPr>
        <w:t> T.P et al. 2016. Advanced Nutrition and Human Metabolism. Cengage Learning.</w:t>
      </w:r>
    </w:p>
    <w:p w14:paraId="1BE77DD0" w14:textId="155718FE" w:rsidR="00883D22" w:rsidRPr="00883D22" w:rsidRDefault="00883D22" w:rsidP="00883D22">
      <w:pPr>
        <w:pBdr>
          <w:top w:val="nil"/>
          <w:left w:val="nil"/>
          <w:bottom w:val="nil"/>
          <w:right w:val="nil"/>
          <w:between w:val="nil"/>
        </w:pBdr>
        <w:spacing w:line="360" w:lineRule="auto"/>
        <w:rPr>
          <w:rFonts w:ascii="Calibri" w:eastAsia="Calibri" w:hAnsi="Calibri" w:cs="Calibri"/>
          <w:lang w:val="en-US" w:eastAsia="el-GR" w:bidi="ar-SA"/>
        </w:rPr>
      </w:pPr>
      <w:r w:rsidRPr="00883D22">
        <w:rPr>
          <w:rFonts w:ascii="Calibri" w:eastAsia="Calibri" w:hAnsi="Calibri" w:cs="Calibri"/>
          <w:lang w:val="en-US" w:eastAsia="el-GR" w:bidi="ar-SA"/>
        </w:rPr>
        <w:t>Center for Disease Control and Prevention (CDC) n.d.</w:t>
      </w:r>
      <w:r w:rsidR="003F7253">
        <w:rPr>
          <w:rFonts w:ascii="Calibri" w:eastAsia="Calibri" w:hAnsi="Calibri" w:cs="Calibri"/>
          <w:lang w:val="en-US" w:eastAsia="el-GR" w:bidi="ar-SA"/>
        </w:rPr>
        <w:t xml:space="preserve"> </w:t>
      </w:r>
      <w:r w:rsidRPr="00883D22">
        <w:rPr>
          <w:rFonts w:ascii="Calibri" w:eastAsia="Calibri" w:hAnsi="Calibri" w:cs="Calibri"/>
          <w:lang w:val="en-US" w:eastAsia="el-GR" w:bidi="ar-SA"/>
        </w:rPr>
        <w:t>https://www.cdc.gov/ncbddd/birthdefects/prevention.html </w:t>
      </w:r>
    </w:p>
    <w:p w14:paraId="1AD259F3" w14:textId="77777777" w:rsidR="00883D22" w:rsidRPr="00883D22" w:rsidRDefault="00883D22" w:rsidP="00883D22">
      <w:pPr>
        <w:pBdr>
          <w:top w:val="nil"/>
          <w:left w:val="nil"/>
          <w:bottom w:val="nil"/>
          <w:right w:val="nil"/>
          <w:between w:val="nil"/>
        </w:pBdr>
        <w:spacing w:line="360" w:lineRule="auto"/>
        <w:rPr>
          <w:rFonts w:ascii="Calibri" w:eastAsia="Calibri" w:hAnsi="Calibri" w:cs="Calibri"/>
          <w:lang w:val="en-US" w:eastAsia="el-GR" w:bidi="ar-SA"/>
        </w:rPr>
      </w:pPr>
      <w:r w:rsidRPr="00883D22">
        <w:rPr>
          <w:rFonts w:ascii="Calibri" w:eastAsia="Calibri" w:hAnsi="Calibri" w:cs="Calibri"/>
          <w:lang w:val="en-US" w:eastAsia="el-GR" w:bidi="ar-SA"/>
        </w:rPr>
        <w:t xml:space="preserve">European Commission. 2020. The health benefits of vaccination. https://ec.europa.eu/commission/presscorner/detail/en/fs_20_2364. </w:t>
      </w:r>
    </w:p>
    <w:p w14:paraId="12D17A66" w14:textId="77777777" w:rsidR="00883D22" w:rsidRPr="00883D22" w:rsidRDefault="00883D22" w:rsidP="00883D22">
      <w:pPr>
        <w:pBdr>
          <w:top w:val="nil"/>
          <w:left w:val="nil"/>
          <w:bottom w:val="nil"/>
          <w:right w:val="nil"/>
          <w:between w:val="nil"/>
        </w:pBdr>
        <w:spacing w:line="360" w:lineRule="auto"/>
        <w:rPr>
          <w:rFonts w:ascii="Calibri" w:eastAsia="Calibri" w:hAnsi="Calibri" w:cs="Calibri"/>
          <w:lang w:val="en-US" w:eastAsia="el-GR" w:bidi="ar-SA"/>
        </w:rPr>
      </w:pPr>
      <w:r w:rsidRPr="00883D22">
        <w:rPr>
          <w:rFonts w:ascii="Calibri" w:eastAsia="Calibri" w:hAnsi="Calibri" w:cs="Calibri"/>
          <w:lang w:val="en-US" w:eastAsia="el-GR" w:bidi="ar-SA"/>
        </w:rPr>
        <w:t xml:space="preserve">European Parliament, Directorate General for Internal Policy. 2017. Research for CULT–Committee. Why Cultural Work with Refugees. Retrieved from: </w:t>
      </w:r>
      <w:hyperlink r:id="rId23">
        <w:r w:rsidRPr="00883D22">
          <w:rPr>
            <w:rFonts w:ascii="Calibri" w:eastAsia="Calibri" w:hAnsi="Calibri" w:cs="Calibri"/>
            <w:color w:val="0563C1"/>
            <w:u w:val="single"/>
            <w:lang w:val="en-US" w:eastAsia="el-GR" w:bidi="ar-SA"/>
          </w:rPr>
          <w:t>http://www.europarl.europa.eu/RegData/etudes/IDAN/2017/602004/IPOL_IDA(2017)602004_EN.pdf</w:t>
        </w:r>
      </w:hyperlink>
    </w:p>
    <w:p w14:paraId="09515A99"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lang w:val="en-US" w:eastAsia="el-GR" w:bidi="ar-SA"/>
        </w:rPr>
      </w:pPr>
      <w:r w:rsidRPr="00883D22">
        <w:rPr>
          <w:rFonts w:ascii="Calibri" w:eastAsia="Calibri" w:hAnsi="Calibri" w:cs="Calibri"/>
          <w:lang w:val="en-US" w:eastAsia="el-GR" w:bidi="ar-SA"/>
        </w:rPr>
        <w:t xml:space="preserve">European Centre for Disease Prevention and Control. 2020. Guidance on infection prevention and control of coronavirus disease (COVID-19) in migrant and refugee reception and detention </w:t>
      </w:r>
      <w:proofErr w:type="spellStart"/>
      <w:r w:rsidRPr="00883D22">
        <w:rPr>
          <w:rFonts w:ascii="Calibri" w:eastAsia="Calibri" w:hAnsi="Calibri" w:cs="Calibri"/>
          <w:lang w:val="en-US" w:eastAsia="el-GR" w:bidi="ar-SA"/>
        </w:rPr>
        <w:t>centres</w:t>
      </w:r>
      <w:proofErr w:type="spellEnd"/>
      <w:r w:rsidRPr="00883D22">
        <w:rPr>
          <w:rFonts w:ascii="Calibri" w:eastAsia="Calibri" w:hAnsi="Calibri" w:cs="Calibri"/>
          <w:lang w:val="en-US" w:eastAsia="el-GR" w:bidi="ar-SA"/>
        </w:rPr>
        <w:t xml:space="preserve"> in the EU/EEA and the United Kingdom</w:t>
      </w:r>
    </w:p>
    <w:p w14:paraId="110D5443"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lang w:val="en-US" w:eastAsia="el-GR" w:bidi="ar-SA"/>
        </w:rPr>
      </w:pPr>
      <w:r w:rsidRPr="00883D22">
        <w:rPr>
          <w:rFonts w:ascii="Calibri" w:eastAsia="Calibri" w:hAnsi="Calibri" w:cs="Calibri"/>
          <w:lang w:val="en-US" w:eastAsia="el-GR" w:bidi="ar-SA"/>
        </w:rPr>
        <w:t xml:space="preserve">International Scientific Forum on Home Hygiene. 2018. Containing the burden of infectious diseases is everyone’s responsibility: A call for an integrated strategy for developing and promoting hygiene </w:t>
      </w:r>
      <w:proofErr w:type="spellStart"/>
      <w:r w:rsidRPr="00883D22">
        <w:rPr>
          <w:rFonts w:ascii="Calibri" w:eastAsia="Calibri" w:hAnsi="Calibri" w:cs="Calibri"/>
          <w:lang w:val="en-US" w:eastAsia="el-GR" w:bidi="ar-SA"/>
        </w:rPr>
        <w:t>behaviour</w:t>
      </w:r>
      <w:proofErr w:type="spellEnd"/>
      <w:r w:rsidRPr="00883D22">
        <w:rPr>
          <w:rFonts w:ascii="Calibri" w:eastAsia="Calibri" w:hAnsi="Calibri" w:cs="Calibri"/>
          <w:lang w:val="en-US" w:eastAsia="el-GR" w:bidi="ar-SA"/>
        </w:rPr>
        <w:t xml:space="preserve"> change in home and everyday life [White Paper]. </w:t>
      </w:r>
      <w:r w:rsidRPr="00883D22">
        <w:rPr>
          <w:rFonts w:ascii="Calibri" w:eastAsia="Calibri" w:hAnsi="Calibri" w:cs="Calibri"/>
          <w:lang w:val="en-US" w:eastAsia="el-GR" w:bidi="ar-SA"/>
        </w:rPr>
        <w:lastRenderedPageBreak/>
        <w:t xml:space="preserve">https://www.ifh-homehygiene.org/sites/default/files/publications/IFH%20White%20Paper-10-18.pdf. </w:t>
      </w:r>
    </w:p>
    <w:p w14:paraId="4766360D" w14:textId="77777777" w:rsidR="00883D22" w:rsidRPr="000B004E" w:rsidRDefault="00883D22" w:rsidP="00883D22">
      <w:pPr>
        <w:pBdr>
          <w:top w:val="nil"/>
          <w:left w:val="nil"/>
          <w:bottom w:val="nil"/>
          <w:right w:val="nil"/>
          <w:between w:val="nil"/>
        </w:pBdr>
        <w:spacing w:line="360" w:lineRule="auto"/>
        <w:rPr>
          <w:rFonts w:ascii="Calibri" w:eastAsia="Calibri" w:hAnsi="Calibri" w:cs="Calibri"/>
          <w:lang w:eastAsia="el-GR" w:bidi="ar-SA"/>
        </w:rPr>
      </w:pPr>
      <w:r w:rsidRPr="00883D22">
        <w:rPr>
          <w:rFonts w:ascii="Calibri" w:eastAsia="Calibri" w:hAnsi="Calibri" w:cs="Calibri"/>
          <w:lang w:val="en-US" w:eastAsia="el-GR" w:bidi="ar-SA"/>
        </w:rPr>
        <w:t>John Hopkins Medicine. n.d. </w:t>
      </w:r>
      <w:hyperlink r:id="rId24">
        <w:r w:rsidRPr="00883D22">
          <w:rPr>
            <w:rFonts w:ascii="Calibri" w:eastAsia="Calibri" w:hAnsi="Calibri" w:cs="Calibri"/>
            <w:color w:val="0563C1"/>
            <w:u w:val="single"/>
            <w:lang w:val="en-US" w:eastAsia="el-GR" w:bidi="ar-SA"/>
          </w:rPr>
          <w:t>https</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www</w:t>
        </w:r>
        <w:r w:rsidRPr="000B004E">
          <w:rPr>
            <w:rFonts w:ascii="Calibri" w:eastAsia="Calibri" w:hAnsi="Calibri" w:cs="Calibri"/>
            <w:color w:val="0563C1"/>
            <w:u w:val="single"/>
            <w:lang w:eastAsia="el-GR" w:bidi="ar-SA"/>
          </w:rPr>
          <w:t>.</w:t>
        </w:r>
        <w:proofErr w:type="spellStart"/>
        <w:r w:rsidRPr="00883D22">
          <w:rPr>
            <w:rFonts w:ascii="Calibri" w:eastAsia="Calibri" w:hAnsi="Calibri" w:cs="Calibri"/>
            <w:color w:val="0563C1"/>
            <w:u w:val="single"/>
            <w:lang w:val="en-US" w:eastAsia="el-GR" w:bidi="ar-SA"/>
          </w:rPr>
          <w:t>hopkinsmedicine</w:t>
        </w:r>
        <w:proofErr w:type="spellEnd"/>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org</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health</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treatment</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tests</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and</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therapies</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screening</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tests</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for</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common</w:t>
        </w:r>
        <w:r w:rsidRPr="000B004E">
          <w:rPr>
            <w:rFonts w:ascii="Calibri" w:eastAsia="Calibri" w:hAnsi="Calibri" w:cs="Calibri"/>
            <w:color w:val="0563C1"/>
            <w:u w:val="single"/>
            <w:lang w:eastAsia="el-GR" w:bidi="ar-SA"/>
          </w:rPr>
          <w:t>-</w:t>
        </w:r>
        <w:r w:rsidRPr="00883D22">
          <w:rPr>
            <w:rFonts w:ascii="Calibri" w:eastAsia="Calibri" w:hAnsi="Calibri" w:cs="Calibri"/>
            <w:color w:val="0563C1"/>
            <w:u w:val="single"/>
            <w:lang w:val="en-US" w:eastAsia="el-GR" w:bidi="ar-SA"/>
          </w:rPr>
          <w:t>diseases</w:t>
        </w:r>
      </w:hyperlink>
      <w:r w:rsidRPr="00883D22">
        <w:rPr>
          <w:rFonts w:ascii="Calibri" w:eastAsia="Calibri" w:hAnsi="Calibri" w:cs="Calibri"/>
          <w:lang w:val="en-US" w:eastAsia="el-GR" w:bidi="ar-SA"/>
        </w:rPr>
        <w:t> </w:t>
      </w:r>
    </w:p>
    <w:p w14:paraId="373474E7" w14:textId="77777777" w:rsidR="00883D22" w:rsidRPr="00883D22" w:rsidRDefault="00883D22" w:rsidP="00883D22">
      <w:pPr>
        <w:pBdr>
          <w:top w:val="nil"/>
          <w:left w:val="nil"/>
          <w:bottom w:val="nil"/>
          <w:right w:val="nil"/>
          <w:between w:val="nil"/>
        </w:pBdr>
        <w:spacing w:line="360" w:lineRule="auto"/>
        <w:rPr>
          <w:rFonts w:ascii="Calibri" w:eastAsia="Calibri" w:hAnsi="Calibri" w:cs="Calibri"/>
          <w:lang w:val="en-US" w:eastAsia="el-GR" w:bidi="ar-SA"/>
        </w:rPr>
      </w:pPr>
      <w:r w:rsidRPr="00883D22">
        <w:rPr>
          <w:rFonts w:ascii="Calibri" w:eastAsia="Calibri" w:hAnsi="Calibri" w:cs="Calibri"/>
          <w:lang w:val="en-US" w:eastAsia="el-GR" w:bidi="ar-SA"/>
        </w:rPr>
        <w:t>Johns Hopkins Medicine. n.d. - </w:t>
      </w:r>
      <w:hyperlink r:id="rId25">
        <w:r w:rsidRPr="00883D22">
          <w:rPr>
            <w:rFonts w:ascii="Calibri" w:eastAsia="Calibri" w:hAnsi="Calibri" w:cs="Calibri"/>
            <w:color w:val="0563C1"/>
            <w:u w:val="single"/>
            <w:lang w:val="en-US" w:eastAsia="el-GR" w:bidi="ar-SA"/>
          </w:rPr>
          <w:t>https://www.hopkinsmedicine.org/health/wellness-and-prevention/abcs-of-eating-smart-for-a-healthy-heart</w:t>
        </w:r>
      </w:hyperlink>
    </w:p>
    <w:p w14:paraId="72759622"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lang w:val="fr-CA" w:eastAsia="el-GR" w:bidi="ar-SA"/>
        </w:rPr>
      </w:pPr>
      <w:r w:rsidRPr="00883D22">
        <w:rPr>
          <w:rFonts w:ascii="Calibri" w:eastAsia="Calibri" w:hAnsi="Calibri" w:cs="Calibri"/>
          <w:lang w:val="en-US" w:eastAsia="el-GR" w:bidi="ar-SA"/>
        </w:rPr>
        <w:t xml:space="preserve">John Hopkins </w:t>
      </w:r>
      <w:proofErr w:type="gramStart"/>
      <w:r w:rsidRPr="00883D22">
        <w:rPr>
          <w:rFonts w:ascii="Calibri" w:eastAsia="Calibri" w:hAnsi="Calibri" w:cs="Calibri"/>
          <w:lang w:val="en-US" w:eastAsia="el-GR" w:bidi="ar-SA"/>
        </w:rPr>
        <w:t>Medicine .</w:t>
      </w:r>
      <w:proofErr w:type="gramEnd"/>
      <w:r w:rsidRPr="00883D22">
        <w:rPr>
          <w:rFonts w:ascii="Calibri" w:eastAsia="Calibri" w:hAnsi="Calibri" w:cs="Calibri"/>
          <w:lang w:val="en-US" w:eastAsia="el-GR" w:bidi="ar-SA"/>
        </w:rPr>
        <w:t>n.d. Malnutrition. </w:t>
      </w:r>
      <w:hyperlink r:id="rId26">
        <w:r w:rsidRPr="00883D22">
          <w:rPr>
            <w:rFonts w:ascii="Calibri" w:eastAsia="Calibri" w:hAnsi="Calibri" w:cs="Calibri"/>
            <w:color w:val="0563C1"/>
            <w:u w:val="single"/>
            <w:lang w:val="fr-CA" w:eastAsia="el-GR" w:bidi="ar-SA"/>
          </w:rPr>
          <w:t>https://www.hopkinsmedicine.org/health/conditions-and-diseases/malnutrition</w:t>
        </w:r>
      </w:hyperlink>
    </w:p>
    <w:p w14:paraId="240D9CDA"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roofErr w:type="spellStart"/>
      <w:r w:rsidRPr="00883D22">
        <w:rPr>
          <w:rFonts w:ascii="Calibri" w:eastAsia="Calibri" w:hAnsi="Calibri" w:cs="Calibri"/>
          <w:color w:val="000000"/>
          <w:sz w:val="24"/>
          <w:szCs w:val="24"/>
          <w:lang w:val="fr-CA" w:eastAsia="el-GR" w:bidi="ar-SA"/>
        </w:rPr>
        <w:t>Matlin</w:t>
      </w:r>
      <w:proofErr w:type="spellEnd"/>
      <w:r w:rsidRPr="00883D22">
        <w:rPr>
          <w:rFonts w:ascii="Calibri" w:eastAsia="Calibri" w:hAnsi="Calibri" w:cs="Calibri"/>
          <w:color w:val="000000"/>
          <w:sz w:val="24"/>
          <w:szCs w:val="24"/>
          <w:lang w:val="fr-CA" w:eastAsia="el-GR" w:bidi="ar-SA"/>
        </w:rPr>
        <w:t xml:space="preserve">, S.A., </w:t>
      </w:r>
      <w:proofErr w:type="spellStart"/>
      <w:r w:rsidRPr="00883D22">
        <w:rPr>
          <w:rFonts w:ascii="Calibri" w:eastAsia="Calibri" w:hAnsi="Calibri" w:cs="Calibri"/>
          <w:color w:val="000000"/>
          <w:sz w:val="24"/>
          <w:szCs w:val="24"/>
          <w:lang w:val="fr-CA" w:eastAsia="el-GR" w:bidi="ar-SA"/>
        </w:rPr>
        <w:t>Depoux</w:t>
      </w:r>
      <w:proofErr w:type="spellEnd"/>
      <w:r w:rsidRPr="00883D22">
        <w:rPr>
          <w:rFonts w:ascii="Calibri" w:eastAsia="Calibri" w:hAnsi="Calibri" w:cs="Calibri"/>
          <w:color w:val="000000"/>
          <w:sz w:val="24"/>
          <w:szCs w:val="24"/>
          <w:lang w:val="fr-CA" w:eastAsia="el-GR" w:bidi="ar-SA"/>
        </w:rPr>
        <w:t xml:space="preserve">, A., </w:t>
      </w:r>
      <w:proofErr w:type="spellStart"/>
      <w:r w:rsidRPr="00883D22">
        <w:rPr>
          <w:rFonts w:ascii="Calibri" w:eastAsia="Calibri" w:hAnsi="Calibri" w:cs="Calibri"/>
          <w:color w:val="000000"/>
          <w:sz w:val="24"/>
          <w:szCs w:val="24"/>
          <w:lang w:val="fr-CA" w:eastAsia="el-GR" w:bidi="ar-SA"/>
        </w:rPr>
        <w:t>Schütte</w:t>
      </w:r>
      <w:proofErr w:type="spellEnd"/>
      <w:r w:rsidRPr="00883D22">
        <w:rPr>
          <w:rFonts w:ascii="Calibri" w:eastAsia="Calibri" w:hAnsi="Calibri" w:cs="Calibri"/>
          <w:color w:val="000000"/>
          <w:sz w:val="24"/>
          <w:szCs w:val="24"/>
          <w:lang w:val="fr-CA" w:eastAsia="el-GR" w:bidi="ar-SA"/>
        </w:rPr>
        <w:t>, S. </w:t>
      </w:r>
      <w:r w:rsidRPr="00883D22">
        <w:rPr>
          <w:rFonts w:ascii="Calibri" w:eastAsia="Calibri" w:hAnsi="Calibri" w:cs="Calibri"/>
          <w:i/>
          <w:color w:val="000000"/>
          <w:sz w:val="24"/>
          <w:szCs w:val="24"/>
          <w:lang w:val="fr-CA" w:eastAsia="el-GR" w:bidi="ar-SA"/>
        </w:rPr>
        <w:t>et al.</w:t>
      </w:r>
      <w:r w:rsidRPr="00883D22">
        <w:rPr>
          <w:rFonts w:ascii="Calibri" w:eastAsia="Calibri" w:hAnsi="Calibri" w:cs="Calibri"/>
          <w:color w:val="000000"/>
          <w:sz w:val="24"/>
          <w:szCs w:val="24"/>
          <w:lang w:val="fr-CA" w:eastAsia="el-GR" w:bidi="ar-SA"/>
        </w:rPr>
        <w:t xml:space="preserve"> 2018. </w:t>
      </w:r>
      <w:r w:rsidRPr="00883D22">
        <w:rPr>
          <w:rFonts w:ascii="Calibri" w:eastAsia="Calibri" w:hAnsi="Calibri" w:cs="Calibri"/>
          <w:color w:val="000000"/>
          <w:sz w:val="24"/>
          <w:szCs w:val="24"/>
          <w:lang w:val="en-US" w:eastAsia="el-GR" w:bidi="ar-SA"/>
        </w:rPr>
        <w:t>Migrants’ and refugees’ health: towards an agenda of solutions. </w:t>
      </w:r>
      <w:r w:rsidRPr="00883D22">
        <w:rPr>
          <w:rFonts w:ascii="Calibri" w:eastAsia="Calibri" w:hAnsi="Calibri" w:cs="Calibri"/>
          <w:i/>
          <w:color w:val="000000"/>
          <w:sz w:val="24"/>
          <w:szCs w:val="24"/>
          <w:lang w:val="en-US" w:eastAsia="el-GR" w:bidi="ar-SA"/>
        </w:rPr>
        <w:t>Public Health Rev</w:t>
      </w:r>
      <w:r w:rsidRPr="00883D22">
        <w:rPr>
          <w:rFonts w:ascii="Calibri" w:eastAsia="Calibri" w:hAnsi="Calibri" w:cs="Calibri"/>
          <w:color w:val="000000"/>
          <w:sz w:val="24"/>
          <w:szCs w:val="24"/>
          <w:lang w:val="en-US" w:eastAsia="el-GR" w:bidi="ar-SA"/>
        </w:rPr>
        <w:t> 39,</w:t>
      </w:r>
      <w:r w:rsidRPr="00883D22">
        <w:rPr>
          <w:rFonts w:ascii="Calibri" w:eastAsia="Calibri" w:hAnsi="Calibri" w:cs="Calibri"/>
          <w:b/>
          <w:color w:val="000000"/>
          <w:sz w:val="24"/>
          <w:szCs w:val="24"/>
          <w:lang w:val="en-US" w:eastAsia="el-GR" w:bidi="ar-SA"/>
        </w:rPr>
        <w:t> </w:t>
      </w:r>
      <w:r w:rsidRPr="00883D22">
        <w:rPr>
          <w:rFonts w:ascii="Calibri" w:eastAsia="Calibri" w:hAnsi="Calibri" w:cs="Calibri"/>
          <w:color w:val="000000"/>
          <w:sz w:val="24"/>
          <w:szCs w:val="24"/>
          <w:lang w:val="en-US" w:eastAsia="el-GR" w:bidi="ar-SA"/>
        </w:rPr>
        <w:t xml:space="preserve">27. https://doi.org/10.1186/s40985-018-0104-9 </w:t>
      </w:r>
    </w:p>
    <w:p w14:paraId="39470C78"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National Institute on Alcohol Abuse and Alcoholism. 2007. - Alcohol and Tobacco </w:t>
      </w:r>
      <w:hyperlink r:id="rId27">
        <w:r w:rsidRPr="00883D22">
          <w:rPr>
            <w:rFonts w:ascii="Calibri" w:eastAsia="Calibri" w:hAnsi="Calibri" w:cs="Calibri"/>
            <w:color w:val="0563C1"/>
            <w:sz w:val="24"/>
            <w:szCs w:val="24"/>
            <w:u w:val="single"/>
            <w:lang w:val="en-US" w:eastAsia="el-GR" w:bidi="ar-SA"/>
          </w:rPr>
          <w:t>https://pubs.niaaa.nih.gov/publications/aa71/aa71.htm</w:t>
        </w:r>
      </w:hyperlink>
      <w:r w:rsidRPr="00883D22">
        <w:rPr>
          <w:rFonts w:ascii="Calibri" w:eastAsia="Calibri" w:hAnsi="Calibri" w:cs="Calibri"/>
          <w:color w:val="000000"/>
          <w:sz w:val="24"/>
          <w:szCs w:val="24"/>
          <w:lang w:val="en-US" w:eastAsia="el-GR" w:bidi="ar-SA"/>
        </w:rPr>
        <w:t xml:space="preserve">. </w:t>
      </w:r>
    </w:p>
    <w:p w14:paraId="75B6370D"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 xml:space="preserve">NSW Refugee Health Service and STARTTS (NSW Service for the Treatment and Rehabilitation of Torture and Trauma Survivors). 2014. </w:t>
      </w:r>
      <w:r w:rsidRPr="00883D22">
        <w:rPr>
          <w:rFonts w:ascii="Calibri" w:eastAsia="Calibri" w:hAnsi="Calibri" w:cs="Calibri"/>
          <w:i/>
          <w:color w:val="000000"/>
          <w:sz w:val="24"/>
          <w:szCs w:val="24"/>
          <w:lang w:val="en-US" w:eastAsia="el-GR" w:bidi="ar-SA"/>
        </w:rPr>
        <w:t>Working with refugees: a guide for social workers</w:t>
      </w:r>
      <w:r w:rsidRPr="00883D22">
        <w:rPr>
          <w:rFonts w:ascii="Calibri" w:eastAsia="Calibri" w:hAnsi="Calibri" w:cs="Calibri"/>
          <w:color w:val="000000"/>
          <w:sz w:val="24"/>
          <w:szCs w:val="24"/>
          <w:lang w:val="en-US" w:eastAsia="el-GR" w:bidi="ar-SA"/>
        </w:rPr>
        <w:t xml:space="preserve">. Retrieved from: </w:t>
      </w:r>
      <w:hyperlink r:id="rId28">
        <w:r w:rsidRPr="00883D22">
          <w:rPr>
            <w:rFonts w:ascii="Calibri" w:eastAsia="Calibri" w:hAnsi="Calibri" w:cs="Calibri"/>
            <w:color w:val="0563C1"/>
            <w:sz w:val="24"/>
            <w:szCs w:val="24"/>
            <w:u w:val="single"/>
            <w:lang w:val="en-US" w:eastAsia="el-GR" w:bidi="ar-SA"/>
          </w:rPr>
          <w:t>https://www.startts.org.au/media/Resource-Working-with-Refugees-Social-Worker-Guide.pdf</w:t>
        </w:r>
      </w:hyperlink>
    </w:p>
    <w:p w14:paraId="6A6AD74B"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 xml:space="preserve">P.J. Shannon, E. </w:t>
      </w:r>
      <w:proofErr w:type="spellStart"/>
      <w:r w:rsidRPr="00883D22">
        <w:rPr>
          <w:rFonts w:ascii="Calibri" w:eastAsia="Calibri" w:hAnsi="Calibri" w:cs="Calibri"/>
          <w:color w:val="000000"/>
          <w:sz w:val="24"/>
          <w:szCs w:val="24"/>
          <w:lang w:val="en-US" w:eastAsia="el-GR" w:bidi="ar-SA"/>
        </w:rPr>
        <w:t>Wieling</w:t>
      </w:r>
      <w:proofErr w:type="spellEnd"/>
      <w:r w:rsidRPr="00883D22">
        <w:rPr>
          <w:rFonts w:ascii="Calibri" w:eastAsia="Calibri" w:hAnsi="Calibri" w:cs="Calibri"/>
          <w:color w:val="000000"/>
          <w:sz w:val="24"/>
          <w:szCs w:val="24"/>
          <w:lang w:val="en-US" w:eastAsia="el-GR" w:bidi="ar-SA"/>
        </w:rPr>
        <w:t xml:space="preserve">, </w:t>
      </w:r>
      <w:proofErr w:type="spellStart"/>
      <w:proofErr w:type="gramStart"/>
      <w:r w:rsidRPr="00883D22">
        <w:rPr>
          <w:rFonts w:ascii="Calibri" w:eastAsia="Calibri" w:hAnsi="Calibri" w:cs="Calibri"/>
          <w:color w:val="000000"/>
          <w:sz w:val="24"/>
          <w:szCs w:val="24"/>
          <w:lang w:val="en-US" w:eastAsia="el-GR" w:bidi="ar-SA"/>
        </w:rPr>
        <w:t>J.Simmelink</w:t>
      </w:r>
      <w:proofErr w:type="spellEnd"/>
      <w:proofErr w:type="gramEnd"/>
      <w:r w:rsidRPr="00883D22">
        <w:rPr>
          <w:rFonts w:ascii="Calibri" w:eastAsia="Calibri" w:hAnsi="Calibri" w:cs="Calibri"/>
          <w:color w:val="000000"/>
          <w:sz w:val="24"/>
          <w:szCs w:val="24"/>
          <w:lang w:val="en-US" w:eastAsia="el-GR" w:bidi="ar-SA"/>
        </w:rPr>
        <w:t xml:space="preserve">-McCleary, E. Becher. 2014. </w:t>
      </w:r>
      <w:r w:rsidRPr="00883D22">
        <w:rPr>
          <w:rFonts w:ascii="Calibri" w:eastAsia="Calibri" w:hAnsi="Calibri" w:cs="Calibri"/>
          <w:i/>
          <w:color w:val="000000"/>
          <w:sz w:val="24"/>
          <w:szCs w:val="24"/>
          <w:lang w:val="en-US" w:eastAsia="el-GR" w:bidi="ar-SA"/>
        </w:rPr>
        <w:t>Beyond Stigma: Barriers to Discussing Mental Health in Refugee Populations</w:t>
      </w:r>
      <w:r w:rsidRPr="00883D22">
        <w:rPr>
          <w:rFonts w:ascii="Calibri" w:eastAsia="Calibri" w:hAnsi="Calibri" w:cs="Calibri"/>
          <w:color w:val="000000"/>
          <w:sz w:val="24"/>
          <w:szCs w:val="24"/>
          <w:lang w:val="en-US" w:eastAsia="el-GR" w:bidi="ar-SA"/>
        </w:rPr>
        <w:t>, Journal of Loss and Trauma International Perspectives on Stress &amp; Coping, Taylor and Francis Online.</w:t>
      </w:r>
    </w:p>
    <w:p w14:paraId="1FD255E7"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Saunders J, Smith T. 2010, Malnutrition: causes and consequences. Clin Med. 2010;10(6):624-627. doi:10.7861/clinmedicine.10-6-624</w:t>
      </w:r>
    </w:p>
    <w:p w14:paraId="633649D8" w14:textId="77777777" w:rsidR="00883D22" w:rsidRPr="00883D22" w:rsidRDefault="00883D22" w:rsidP="00883D22">
      <w:pPr>
        <w:pBdr>
          <w:top w:val="nil"/>
          <w:left w:val="nil"/>
          <w:bottom w:val="nil"/>
          <w:right w:val="nil"/>
          <w:between w:val="nil"/>
        </w:pBdr>
        <w:spacing w:line="276" w:lineRule="auto"/>
        <w:rPr>
          <w:rFonts w:ascii="Calibri" w:eastAsia="Calibri" w:hAnsi="Calibri" w:cs="Calibri"/>
          <w:color w:val="000000"/>
          <w:sz w:val="24"/>
          <w:szCs w:val="24"/>
          <w:lang w:val="en-US"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n.d. Chapter 8 - Personal, domestic and community hygiene.</w:t>
      </w:r>
    </w:p>
    <w:p w14:paraId="34BBD5E3" w14:textId="77777777" w:rsidR="00883D22" w:rsidRPr="00883D22" w:rsidRDefault="00883D22" w:rsidP="00883D22">
      <w:pPr>
        <w:pBdr>
          <w:top w:val="nil"/>
          <w:left w:val="nil"/>
          <w:bottom w:val="nil"/>
          <w:right w:val="nil"/>
          <w:between w:val="nil"/>
        </w:pBdr>
        <w:spacing w:line="276" w:lineRule="auto"/>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 </w:t>
      </w:r>
      <w:hyperlink r:id="rId29">
        <w:r w:rsidRPr="00883D22">
          <w:rPr>
            <w:rFonts w:ascii="Calibri" w:eastAsia="Calibri" w:hAnsi="Calibri" w:cs="Calibri"/>
            <w:color w:val="0563C1"/>
            <w:sz w:val="24"/>
            <w:szCs w:val="24"/>
            <w:u w:val="single"/>
            <w:lang w:val="en-US" w:eastAsia="el-GR" w:bidi="ar-SA"/>
          </w:rPr>
          <w:t>https://www.who.int/water_sanitation_health/hygiene/settings/hvchap8.pdf</w:t>
        </w:r>
      </w:hyperlink>
    </w:p>
    <w:p w14:paraId="250926F4" w14:textId="7ECE0214" w:rsidR="00883D22" w:rsidRPr="000B004E" w:rsidRDefault="00883D22" w:rsidP="00883D22">
      <w:pPr>
        <w:pBdr>
          <w:top w:val="nil"/>
          <w:left w:val="nil"/>
          <w:bottom w:val="nil"/>
          <w:right w:val="nil"/>
          <w:between w:val="nil"/>
        </w:pBdr>
        <w:spacing w:line="360" w:lineRule="auto"/>
        <w:rPr>
          <w:rFonts w:ascii="Calibri" w:eastAsia="Calibri" w:hAnsi="Calibri" w:cs="Calibri"/>
          <w:color w:val="000000"/>
          <w:sz w:val="24"/>
          <w:szCs w:val="24"/>
          <w:lang w:eastAsia="el-GR" w:bidi="ar-SA"/>
        </w:rPr>
      </w:pPr>
      <w:proofErr w:type="gramStart"/>
      <w:r w:rsidRPr="00883D22">
        <w:rPr>
          <w:rFonts w:ascii="Calibri" w:eastAsia="Calibri" w:hAnsi="Calibri" w:cs="Calibri"/>
          <w:color w:val="000000"/>
          <w:sz w:val="24"/>
          <w:szCs w:val="24"/>
          <w:lang w:val="en-US" w:eastAsia="el-GR" w:bidi="ar-SA"/>
        </w:rPr>
        <w:lastRenderedPageBreak/>
        <w:t>WHO.</w:t>
      </w:r>
      <w:proofErr w:type="gramEnd"/>
      <w:r w:rsidRPr="00883D22">
        <w:rPr>
          <w:rFonts w:ascii="Calibri" w:eastAsia="Calibri" w:hAnsi="Calibri" w:cs="Calibri"/>
          <w:color w:val="000000"/>
          <w:sz w:val="24"/>
          <w:szCs w:val="24"/>
          <w:lang w:val="en-US" w:eastAsia="el-GR" w:bidi="ar-SA"/>
        </w:rPr>
        <w:t xml:space="preserve"> n.d. Migration and Health: Key Issues.</w:t>
      </w:r>
      <w:r w:rsidR="003F7253">
        <w:rPr>
          <w:rFonts w:ascii="Calibri" w:eastAsia="Calibri" w:hAnsi="Calibri" w:cs="Calibri"/>
          <w:color w:val="000000"/>
          <w:sz w:val="24"/>
          <w:szCs w:val="24"/>
          <w:lang w:val="en-US" w:eastAsia="el-GR" w:bidi="ar-SA"/>
        </w:rPr>
        <w:t xml:space="preserve"> </w:t>
      </w:r>
      <w:hyperlink r:id="rId30">
        <w:r w:rsidRPr="00883D22">
          <w:rPr>
            <w:rFonts w:ascii="Calibri" w:eastAsia="Calibri" w:hAnsi="Calibri" w:cs="Calibri"/>
            <w:color w:val="0563C1"/>
            <w:sz w:val="24"/>
            <w:szCs w:val="24"/>
            <w:u w:val="single"/>
            <w:lang w:val="en-US" w:eastAsia="el-GR" w:bidi="ar-SA"/>
          </w:rPr>
          <w:t>https</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www</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euro</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who</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int</w:t>
        </w:r>
        <w:r w:rsidRPr="000B004E">
          <w:rPr>
            <w:rFonts w:ascii="Calibri" w:eastAsia="Calibri" w:hAnsi="Calibri" w:cs="Calibri"/>
            <w:color w:val="0563C1"/>
            <w:sz w:val="24"/>
            <w:szCs w:val="24"/>
            <w:u w:val="single"/>
            <w:lang w:eastAsia="el-GR" w:bidi="ar-SA"/>
          </w:rPr>
          <w:t>/__</w:t>
        </w:r>
        <w:r w:rsidRPr="00883D22">
          <w:rPr>
            <w:rFonts w:ascii="Calibri" w:eastAsia="Calibri" w:hAnsi="Calibri" w:cs="Calibri"/>
            <w:color w:val="0563C1"/>
            <w:sz w:val="24"/>
            <w:szCs w:val="24"/>
            <w:u w:val="single"/>
            <w:lang w:val="en-US" w:eastAsia="el-GR" w:bidi="ar-SA"/>
          </w:rPr>
          <w:t>data</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assets</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pdf</w:t>
        </w:r>
        <w:r w:rsidRPr="000B004E">
          <w:rPr>
            <w:rFonts w:ascii="Calibri" w:eastAsia="Calibri" w:hAnsi="Calibri" w:cs="Calibri"/>
            <w:color w:val="0563C1"/>
            <w:sz w:val="24"/>
            <w:szCs w:val="24"/>
            <w:u w:val="single"/>
            <w:lang w:eastAsia="el-GR" w:bidi="ar-SA"/>
          </w:rPr>
          <w:t>_</w:t>
        </w:r>
        <w:r w:rsidRPr="00883D22">
          <w:rPr>
            <w:rFonts w:ascii="Calibri" w:eastAsia="Calibri" w:hAnsi="Calibri" w:cs="Calibri"/>
            <w:color w:val="0563C1"/>
            <w:sz w:val="24"/>
            <w:szCs w:val="24"/>
            <w:u w:val="single"/>
            <w:lang w:val="en-US" w:eastAsia="el-GR" w:bidi="ar-SA"/>
          </w:rPr>
          <w:t>file</w:t>
        </w:r>
        <w:r w:rsidRPr="000B004E">
          <w:rPr>
            <w:rFonts w:ascii="Calibri" w:eastAsia="Calibri" w:hAnsi="Calibri" w:cs="Calibri"/>
            <w:color w:val="0563C1"/>
            <w:sz w:val="24"/>
            <w:szCs w:val="24"/>
            <w:u w:val="single"/>
            <w:lang w:eastAsia="el-GR" w:bidi="ar-SA"/>
          </w:rPr>
          <w:t>/0005/293270/</w:t>
        </w:r>
        <w:r w:rsidRPr="00883D22">
          <w:rPr>
            <w:rFonts w:ascii="Calibri" w:eastAsia="Calibri" w:hAnsi="Calibri" w:cs="Calibri"/>
            <w:color w:val="0563C1"/>
            <w:sz w:val="24"/>
            <w:szCs w:val="24"/>
            <w:u w:val="single"/>
            <w:lang w:val="en-US" w:eastAsia="el-GR" w:bidi="ar-SA"/>
          </w:rPr>
          <w:t>Migration</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Key</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Issues</w:t>
        </w:r>
        <w:r w:rsidRPr="000B004E">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pdf</w:t>
        </w:r>
        <w:r w:rsidRPr="000B004E">
          <w:rPr>
            <w:rFonts w:ascii="Calibri" w:eastAsia="Calibri" w:hAnsi="Calibri" w:cs="Calibri"/>
            <w:color w:val="0563C1"/>
            <w:sz w:val="24"/>
            <w:szCs w:val="24"/>
            <w:u w:val="single"/>
            <w:lang w:eastAsia="el-GR" w:bidi="ar-SA"/>
          </w:rPr>
          <w:t xml:space="preserve"> </w:t>
        </w:r>
      </w:hyperlink>
    </w:p>
    <w:p w14:paraId="6B282F09" w14:textId="77777777" w:rsidR="00883D22" w:rsidRPr="00067368" w:rsidRDefault="00883D22" w:rsidP="00883D22">
      <w:pPr>
        <w:pBdr>
          <w:top w:val="nil"/>
          <w:left w:val="nil"/>
          <w:bottom w:val="nil"/>
          <w:right w:val="nil"/>
          <w:between w:val="nil"/>
        </w:pBdr>
        <w:spacing w:line="360" w:lineRule="auto"/>
        <w:rPr>
          <w:rFonts w:ascii="Calibri" w:eastAsia="Calibri" w:hAnsi="Calibri" w:cs="Calibri"/>
          <w:color w:val="000000"/>
          <w:sz w:val="24"/>
          <w:szCs w:val="24"/>
          <w:lang w:eastAsia="el-GR" w:bidi="ar-SA"/>
        </w:rPr>
      </w:pPr>
      <w:bookmarkStart w:id="8" w:name="_heading=h.35nkun2" w:colFirst="0" w:colLast="0"/>
      <w:bookmarkEnd w:id="8"/>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2013. Vaccine Safety Basics: Learning Manual. SAFETY. </w:t>
      </w:r>
      <w:hyperlink r:id="rId31">
        <w:r w:rsidRPr="00883D22">
          <w:rPr>
            <w:rFonts w:ascii="Calibri" w:eastAsia="Calibri" w:hAnsi="Calibri" w:cs="Calibri"/>
            <w:color w:val="0563C1"/>
            <w:sz w:val="24"/>
            <w:szCs w:val="24"/>
            <w:u w:val="single"/>
            <w:lang w:val="en-US" w:eastAsia="el-GR" w:bidi="ar-SA"/>
          </w:rPr>
          <w:t>https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www</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who</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int</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vaccine</w:t>
        </w:r>
        <w:r w:rsidRPr="00067368">
          <w:rPr>
            <w:rFonts w:ascii="Calibri" w:eastAsia="Calibri" w:hAnsi="Calibri" w:cs="Calibri"/>
            <w:color w:val="0563C1"/>
            <w:sz w:val="24"/>
            <w:szCs w:val="24"/>
            <w:u w:val="single"/>
            <w:lang w:eastAsia="el-GR" w:bidi="ar-SA"/>
          </w:rPr>
          <w:t>_</w:t>
        </w:r>
        <w:r w:rsidRPr="00883D22">
          <w:rPr>
            <w:rFonts w:ascii="Calibri" w:eastAsia="Calibri" w:hAnsi="Calibri" w:cs="Calibri"/>
            <w:color w:val="0563C1"/>
            <w:sz w:val="24"/>
            <w:szCs w:val="24"/>
            <w:u w:val="single"/>
            <w:lang w:val="en-US" w:eastAsia="el-GR" w:bidi="ar-SA"/>
          </w:rPr>
          <w:t>safety</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initiative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tech</w:t>
        </w:r>
        <w:r w:rsidRPr="00067368">
          <w:rPr>
            <w:rFonts w:ascii="Calibri" w:eastAsia="Calibri" w:hAnsi="Calibri" w:cs="Calibri"/>
            <w:color w:val="0563C1"/>
            <w:sz w:val="24"/>
            <w:szCs w:val="24"/>
            <w:u w:val="single"/>
            <w:lang w:eastAsia="el-GR" w:bidi="ar-SA"/>
          </w:rPr>
          <w:t>_</w:t>
        </w:r>
        <w:r w:rsidRPr="00883D22">
          <w:rPr>
            <w:rFonts w:ascii="Calibri" w:eastAsia="Calibri" w:hAnsi="Calibri" w:cs="Calibri"/>
            <w:color w:val="0563C1"/>
            <w:sz w:val="24"/>
            <w:szCs w:val="24"/>
            <w:u w:val="single"/>
            <w:lang w:val="en-US" w:eastAsia="el-GR" w:bidi="ar-SA"/>
          </w:rPr>
          <w:t>support</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Vaccine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safety</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course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manual</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pdf</w:t>
        </w:r>
      </w:hyperlink>
      <w:r w:rsidRPr="00067368">
        <w:rPr>
          <w:rFonts w:ascii="Calibri" w:eastAsia="Calibri" w:hAnsi="Calibri" w:cs="Calibri"/>
          <w:color w:val="000000"/>
          <w:sz w:val="24"/>
          <w:szCs w:val="24"/>
          <w:lang w:eastAsia="el-GR" w:bidi="ar-SA"/>
        </w:rPr>
        <w:t xml:space="preserve"> </w:t>
      </w:r>
    </w:p>
    <w:p w14:paraId="7FA168A6" w14:textId="77777777" w:rsidR="00883D22" w:rsidRPr="00067368"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2018. Nutrition. </w:t>
      </w:r>
      <w:hyperlink r:id="rId32">
        <w:r w:rsidRPr="00883D22">
          <w:rPr>
            <w:rFonts w:ascii="Calibri" w:eastAsia="Calibri" w:hAnsi="Calibri" w:cs="Calibri"/>
            <w:color w:val="0563C1"/>
            <w:sz w:val="24"/>
            <w:szCs w:val="24"/>
            <w:u w:val="single"/>
            <w:lang w:val="en-US" w:eastAsia="el-GR" w:bidi="ar-SA"/>
          </w:rPr>
          <w:t>https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www</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who</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int</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news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room</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facts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in</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pictures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detail</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nutrition</w:t>
        </w:r>
      </w:hyperlink>
    </w:p>
    <w:p w14:paraId="6E389639" w14:textId="77777777" w:rsidR="00883D22" w:rsidRPr="00067368"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2018. Report on the health of refugees and migrants in the WHO European Region: no public health without refugee and migrant health. ISBN 978 92 890 5384 6. </w:t>
      </w:r>
      <w:hyperlink r:id="rId33">
        <w:r w:rsidRPr="00883D22">
          <w:rPr>
            <w:rFonts w:ascii="Calibri" w:eastAsia="Calibri" w:hAnsi="Calibri" w:cs="Calibri"/>
            <w:color w:val="0563C1"/>
            <w:sz w:val="24"/>
            <w:szCs w:val="24"/>
            <w:u w:val="single"/>
            <w:lang w:val="en-US" w:eastAsia="el-GR" w:bidi="ar-SA"/>
          </w:rPr>
          <w:t>https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www</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euro</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who</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int</w:t>
        </w:r>
        <w:r w:rsidRPr="00067368">
          <w:rPr>
            <w:rFonts w:ascii="Calibri" w:eastAsia="Calibri" w:hAnsi="Calibri" w:cs="Calibri"/>
            <w:color w:val="0563C1"/>
            <w:sz w:val="24"/>
            <w:szCs w:val="24"/>
            <w:u w:val="single"/>
            <w:lang w:eastAsia="el-GR" w:bidi="ar-SA"/>
          </w:rPr>
          <w:t>/</w:t>
        </w:r>
        <w:proofErr w:type="spellStart"/>
        <w:r w:rsidRPr="00883D22">
          <w:rPr>
            <w:rFonts w:ascii="Calibri" w:eastAsia="Calibri" w:hAnsi="Calibri" w:cs="Calibri"/>
            <w:color w:val="0563C1"/>
            <w:sz w:val="24"/>
            <w:szCs w:val="24"/>
            <w:u w:val="single"/>
            <w:lang w:val="en-US" w:eastAsia="el-GR" w:bidi="ar-SA"/>
          </w:rPr>
          <w:t>en</w:t>
        </w:r>
        <w:proofErr w:type="spellEnd"/>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topics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determinants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migration</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and</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publications</w:t>
        </w:r>
        <w:r w:rsidRPr="00067368">
          <w:rPr>
            <w:rFonts w:ascii="Calibri" w:eastAsia="Calibri" w:hAnsi="Calibri" w:cs="Calibri"/>
            <w:color w:val="0563C1"/>
            <w:sz w:val="24"/>
            <w:szCs w:val="24"/>
            <w:u w:val="single"/>
            <w:lang w:eastAsia="el-GR" w:bidi="ar-SA"/>
          </w:rPr>
          <w:t>/2018/</w:t>
        </w:r>
        <w:r w:rsidRPr="00883D22">
          <w:rPr>
            <w:rFonts w:ascii="Calibri" w:eastAsia="Calibri" w:hAnsi="Calibri" w:cs="Calibri"/>
            <w:color w:val="0563C1"/>
            <w:sz w:val="24"/>
            <w:szCs w:val="24"/>
            <w:u w:val="single"/>
            <w:lang w:val="en-US" w:eastAsia="el-GR" w:bidi="ar-SA"/>
          </w:rPr>
          <w:t>report</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on</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the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of</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refugees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and</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migrants</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in</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the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who</w:t>
        </w:r>
        <w:r w:rsidRPr="00067368">
          <w:rPr>
            <w:rFonts w:ascii="Calibri" w:eastAsia="Calibri" w:hAnsi="Calibri" w:cs="Calibri"/>
            <w:color w:val="0563C1"/>
            <w:sz w:val="24"/>
            <w:szCs w:val="24"/>
            <w:u w:val="single"/>
            <w:lang w:eastAsia="el-GR" w:bidi="ar-SA"/>
          </w:rPr>
          <w:t>-</w:t>
        </w:r>
        <w:proofErr w:type="spellStart"/>
        <w:r w:rsidRPr="00883D22">
          <w:rPr>
            <w:rFonts w:ascii="Calibri" w:eastAsia="Calibri" w:hAnsi="Calibri" w:cs="Calibri"/>
            <w:color w:val="0563C1"/>
            <w:sz w:val="24"/>
            <w:szCs w:val="24"/>
            <w:u w:val="single"/>
            <w:lang w:val="en-US" w:eastAsia="el-GR" w:bidi="ar-SA"/>
          </w:rPr>
          <w:t>european</w:t>
        </w:r>
        <w:proofErr w:type="spellEnd"/>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region</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no</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public</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without</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refugee</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and</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migrant</w:t>
        </w:r>
        <w:r w:rsidRPr="00067368">
          <w:rPr>
            <w:rFonts w:ascii="Calibri" w:eastAsia="Calibri" w:hAnsi="Calibri" w:cs="Calibri"/>
            <w:color w:val="0563C1"/>
            <w:sz w:val="24"/>
            <w:szCs w:val="24"/>
            <w:u w:val="single"/>
            <w:lang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eastAsia="el-GR" w:bidi="ar-SA"/>
          </w:rPr>
          <w:t>-2018</w:t>
        </w:r>
      </w:hyperlink>
      <w:r w:rsidRPr="00067368">
        <w:rPr>
          <w:rFonts w:ascii="Calibri" w:eastAsia="Calibri" w:hAnsi="Calibri" w:cs="Calibri"/>
          <w:color w:val="000000"/>
          <w:sz w:val="24"/>
          <w:szCs w:val="24"/>
          <w:lang w:eastAsia="el-GR" w:bidi="ar-SA"/>
        </w:rPr>
        <w:t xml:space="preserve"> </w:t>
      </w:r>
    </w:p>
    <w:p w14:paraId="0BE7F488"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2019. </w:t>
      </w:r>
      <w:hyperlink r:id="rId34">
        <w:r w:rsidRPr="00883D22">
          <w:rPr>
            <w:rFonts w:ascii="Calibri" w:eastAsia="Calibri" w:hAnsi="Calibri" w:cs="Calibri"/>
            <w:color w:val="0563C1"/>
            <w:sz w:val="24"/>
            <w:szCs w:val="24"/>
            <w:u w:val="single"/>
            <w:lang w:val="en-US" w:eastAsia="el-GR" w:bidi="ar-SA"/>
          </w:rPr>
          <w:t>https://www.who.int/news-room/facts-in-pictures/detail/immunization</w:t>
        </w:r>
      </w:hyperlink>
    </w:p>
    <w:p w14:paraId="5C9CC791" w14:textId="77777777" w:rsidR="00883D22" w:rsidRPr="00067368"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2019. Vaccines and immunizations. </w:t>
      </w:r>
      <w:hyperlink r:id="rId35">
        <w:r w:rsidRPr="00883D22">
          <w:rPr>
            <w:rFonts w:ascii="Calibri" w:eastAsia="Calibri" w:hAnsi="Calibri" w:cs="Calibri"/>
            <w:color w:val="0563C1"/>
            <w:sz w:val="24"/>
            <w:szCs w:val="24"/>
            <w:u w:val="single"/>
            <w:lang w:val="en-US" w:eastAsia="el-GR" w:bidi="ar-SA"/>
          </w:rPr>
          <w:t>https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www</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who</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int</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health</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topics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vaccines</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and</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immunization</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tab</w:t>
        </w:r>
        <w:r w:rsidRPr="00067368">
          <w:rPr>
            <w:rFonts w:ascii="Calibri" w:eastAsia="Calibri" w:hAnsi="Calibri" w:cs="Calibri"/>
            <w:color w:val="0563C1"/>
            <w:sz w:val="24"/>
            <w:szCs w:val="24"/>
            <w:u w:val="single"/>
            <w:lang w:val="en-US" w:eastAsia="el-GR" w:bidi="ar-SA"/>
          </w:rPr>
          <w:t>=</w:t>
        </w:r>
        <w:r w:rsidRPr="00883D22">
          <w:rPr>
            <w:rFonts w:ascii="Calibri" w:eastAsia="Calibri" w:hAnsi="Calibri" w:cs="Calibri"/>
            <w:color w:val="0563C1"/>
            <w:sz w:val="24"/>
            <w:szCs w:val="24"/>
            <w:u w:val="single"/>
            <w:lang w:val="en-US" w:eastAsia="el-GR" w:bidi="ar-SA"/>
          </w:rPr>
          <w:t>tab</w:t>
        </w:r>
        <w:r w:rsidRPr="00067368">
          <w:rPr>
            <w:rFonts w:ascii="Calibri" w:eastAsia="Calibri" w:hAnsi="Calibri" w:cs="Calibri"/>
            <w:color w:val="0563C1"/>
            <w:sz w:val="24"/>
            <w:szCs w:val="24"/>
            <w:u w:val="single"/>
            <w:lang w:val="en-US" w:eastAsia="el-GR" w:bidi="ar-SA"/>
          </w:rPr>
          <w:t>_1</w:t>
        </w:r>
      </w:hyperlink>
    </w:p>
    <w:p w14:paraId="05A0EE6E"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roofErr w:type="gramStart"/>
      <w:r w:rsidRPr="00883D22">
        <w:rPr>
          <w:rFonts w:ascii="Calibri" w:eastAsia="Calibri" w:hAnsi="Calibri" w:cs="Calibri"/>
          <w:color w:val="000000"/>
          <w:sz w:val="24"/>
          <w:szCs w:val="24"/>
          <w:lang w:val="en-US" w:eastAsia="el-GR" w:bidi="ar-SA"/>
        </w:rPr>
        <w:t>WHO.</w:t>
      </w:r>
      <w:proofErr w:type="gramEnd"/>
      <w:r w:rsidRPr="00883D22">
        <w:rPr>
          <w:rFonts w:ascii="Calibri" w:eastAsia="Calibri" w:hAnsi="Calibri" w:cs="Calibri"/>
          <w:color w:val="000000"/>
          <w:sz w:val="24"/>
          <w:szCs w:val="24"/>
          <w:lang w:val="en-US" w:eastAsia="el-GR" w:bidi="ar-SA"/>
        </w:rPr>
        <w:t xml:space="preserve"> 2021. Vaccines and immunization: What is vaccination? https://www.who.int/news-room/questions-and-answers/item/vaccines-and-immunization-what-is-vaccination. </w:t>
      </w:r>
    </w:p>
    <w:p w14:paraId="09E7A2E5"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UNICEF. 2020. Immunization. </w:t>
      </w:r>
      <w:hyperlink r:id="rId36">
        <w:r w:rsidRPr="00883D22">
          <w:rPr>
            <w:rFonts w:ascii="Calibri" w:eastAsia="Calibri" w:hAnsi="Calibri" w:cs="Calibri"/>
            <w:color w:val="0563C1"/>
            <w:sz w:val="24"/>
            <w:szCs w:val="24"/>
            <w:u w:val="single"/>
            <w:lang w:val="en-US" w:eastAsia="el-GR" w:bidi="ar-SA"/>
          </w:rPr>
          <w:t>https://www.unicef.org/eca/health/immunization</w:t>
        </w:r>
      </w:hyperlink>
      <w:r w:rsidRPr="00883D22">
        <w:rPr>
          <w:rFonts w:ascii="Calibri" w:eastAsia="Calibri" w:hAnsi="Calibri" w:cs="Calibri"/>
          <w:color w:val="000000"/>
          <w:sz w:val="24"/>
          <w:szCs w:val="24"/>
          <w:lang w:val="en-US" w:eastAsia="el-GR" w:bidi="ar-SA"/>
        </w:rPr>
        <w:t xml:space="preserve">. </w:t>
      </w:r>
    </w:p>
    <w:p w14:paraId="1660CFC2"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 xml:space="preserve">UNHCR. 2015. </w:t>
      </w:r>
      <w:r w:rsidRPr="00883D22">
        <w:rPr>
          <w:rFonts w:ascii="Calibri" w:eastAsia="Calibri" w:hAnsi="Calibri" w:cs="Calibri"/>
          <w:i/>
          <w:color w:val="000000"/>
          <w:sz w:val="24"/>
          <w:szCs w:val="24"/>
          <w:lang w:val="en-US" w:eastAsia="el-GR" w:bidi="ar-SA"/>
        </w:rPr>
        <w:t>Culture, Context and the Mental Health and Psychosocial Wellbeing of Syrians. A Review for Mental Health and Psychosocial Support staff Working with Syrians Affected by Armed Conflict</w:t>
      </w:r>
      <w:r w:rsidRPr="00883D22">
        <w:rPr>
          <w:rFonts w:ascii="Calibri" w:eastAsia="Calibri" w:hAnsi="Calibri" w:cs="Calibri"/>
          <w:color w:val="000000"/>
          <w:sz w:val="24"/>
          <w:szCs w:val="24"/>
          <w:lang w:val="en-US" w:eastAsia="el-GR" w:bidi="ar-SA"/>
        </w:rPr>
        <w:t xml:space="preserve">. Retrieved from: </w:t>
      </w:r>
      <w:hyperlink r:id="rId37">
        <w:r w:rsidRPr="00883D22">
          <w:rPr>
            <w:rFonts w:ascii="Calibri" w:eastAsia="Calibri" w:hAnsi="Calibri" w:cs="Calibri"/>
            <w:color w:val="0563C1"/>
            <w:sz w:val="24"/>
            <w:szCs w:val="24"/>
            <w:u w:val="single"/>
            <w:lang w:val="en-US" w:eastAsia="el-GR" w:bidi="ar-SA"/>
          </w:rPr>
          <w:t>https://www.unhcr.org/55f6b90f9.pdf</w:t>
        </w:r>
      </w:hyperlink>
    </w:p>
    <w:p w14:paraId="1B0F1188"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r w:rsidRPr="00883D22">
        <w:rPr>
          <w:rFonts w:ascii="Calibri" w:eastAsia="Calibri" w:hAnsi="Calibri" w:cs="Calibri"/>
          <w:color w:val="000000"/>
          <w:sz w:val="24"/>
          <w:szCs w:val="24"/>
          <w:lang w:val="en-US" w:eastAsia="el-GR" w:bidi="ar-SA"/>
        </w:rPr>
        <w:t xml:space="preserve">UNHCR, IOM, MHPSS. 2015. </w:t>
      </w:r>
      <w:r w:rsidRPr="00883D22">
        <w:rPr>
          <w:rFonts w:ascii="Calibri" w:eastAsia="Calibri" w:hAnsi="Calibri" w:cs="Calibri"/>
          <w:i/>
          <w:color w:val="000000"/>
          <w:sz w:val="24"/>
          <w:szCs w:val="24"/>
          <w:lang w:val="en-US" w:eastAsia="el-GR" w:bidi="ar-SA"/>
        </w:rPr>
        <w:t>Mental Health and Psychosocial Support for Refugees, Asylum Seekers and Migrants on the Move in Europe. A multi-agency guidance note</w:t>
      </w:r>
      <w:r w:rsidRPr="00883D22">
        <w:rPr>
          <w:rFonts w:ascii="Calibri" w:eastAsia="Calibri" w:hAnsi="Calibri" w:cs="Calibri"/>
          <w:color w:val="000000"/>
          <w:sz w:val="24"/>
          <w:szCs w:val="24"/>
          <w:lang w:val="en-US" w:eastAsia="el-GR" w:bidi="ar-SA"/>
        </w:rPr>
        <w:t xml:space="preserve">. Retrieved from: </w:t>
      </w:r>
      <w:hyperlink r:id="rId38">
        <w:r w:rsidRPr="00883D22">
          <w:rPr>
            <w:rFonts w:ascii="Calibri" w:eastAsia="Calibri" w:hAnsi="Calibri" w:cs="Calibri"/>
            <w:color w:val="0563C1"/>
            <w:sz w:val="24"/>
            <w:szCs w:val="24"/>
            <w:u w:val="single"/>
            <w:lang w:val="en-US" w:eastAsia="el-GR" w:bidi="ar-SA"/>
          </w:rPr>
          <w:t>http://www.euro.who.int/en/health-topics/health-</w:t>
        </w:r>
        <w:r w:rsidRPr="00883D22">
          <w:rPr>
            <w:rFonts w:ascii="Calibri" w:eastAsia="Calibri" w:hAnsi="Calibri" w:cs="Calibri"/>
            <w:color w:val="0563C1"/>
            <w:sz w:val="24"/>
            <w:szCs w:val="24"/>
            <w:u w:val="single"/>
            <w:lang w:val="en-US" w:eastAsia="el-GR" w:bidi="ar-SA"/>
          </w:rPr>
          <w:lastRenderedPageBreak/>
          <w:t>determinants/migration-and-health/publications/2016/mental-health-and-psychosocial-support-for-refugees,-asylum-seekers-and-migrants-on-the-move-in-europe.-a-multi-agency-guidance-note-2015</w:t>
        </w:r>
      </w:hyperlink>
    </w:p>
    <w:p w14:paraId="2C204FE5"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
    <w:p w14:paraId="6EA5D496" w14:textId="77777777" w:rsidR="00883D22" w:rsidRPr="00883D22" w:rsidRDefault="00883D22" w:rsidP="00883D22">
      <w:pPr>
        <w:pBdr>
          <w:top w:val="nil"/>
          <w:left w:val="nil"/>
          <w:bottom w:val="nil"/>
          <w:right w:val="nil"/>
          <w:between w:val="nil"/>
        </w:pBdr>
        <w:spacing w:line="360" w:lineRule="auto"/>
        <w:jc w:val="both"/>
        <w:rPr>
          <w:rFonts w:ascii="Calibri" w:eastAsia="Calibri" w:hAnsi="Calibri" w:cs="Calibri"/>
          <w:color w:val="000000"/>
          <w:sz w:val="24"/>
          <w:szCs w:val="24"/>
          <w:lang w:val="en-US" w:eastAsia="el-GR" w:bidi="ar-SA"/>
        </w:rPr>
      </w:pPr>
    </w:p>
    <w:p w14:paraId="0CA7FF05" w14:textId="77777777" w:rsidR="00883D22" w:rsidRPr="00883D22" w:rsidRDefault="00883D22" w:rsidP="00DC1832">
      <w:pPr>
        <w:spacing w:line="360" w:lineRule="auto"/>
        <w:jc w:val="both"/>
        <w:rPr>
          <w:lang w:val="en-US"/>
        </w:rPr>
      </w:pPr>
    </w:p>
    <w:sectPr w:rsidR="00883D22" w:rsidRPr="00883D22" w:rsidSect="004D0646">
      <w:footerReference w:type="first" r:id="rId39"/>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F86B" w14:textId="77777777" w:rsidR="00DF6B06" w:rsidRDefault="00DF6B06" w:rsidP="00467ACF">
      <w:pPr>
        <w:spacing w:after="0" w:line="240" w:lineRule="auto"/>
      </w:pPr>
      <w:r>
        <w:separator/>
      </w:r>
    </w:p>
  </w:endnote>
  <w:endnote w:type="continuationSeparator" w:id="0">
    <w:p w14:paraId="2EC88E85" w14:textId="77777777" w:rsidR="00DF6B06" w:rsidRDefault="00DF6B06" w:rsidP="0046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101B" w14:textId="5250181E" w:rsidR="00272C70" w:rsidRDefault="00272C70">
    <w:pPr>
      <w:pStyle w:val="a5"/>
      <w:jc w:val="center"/>
    </w:pPr>
  </w:p>
  <w:p w14:paraId="521B9A66" w14:textId="77777777" w:rsidR="008A1378" w:rsidRDefault="008A137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82293"/>
      <w:docPartObj>
        <w:docPartGallery w:val="Page Numbers (Bottom of Page)"/>
        <w:docPartUnique/>
      </w:docPartObj>
    </w:sdtPr>
    <w:sdtContent>
      <w:p w14:paraId="60ACB8A9" w14:textId="4AAB734F" w:rsidR="00A75F80" w:rsidRDefault="00B76393">
        <w:pPr>
          <w:pStyle w:val="a5"/>
          <w:jc w:val="center"/>
        </w:pPr>
        <w:r>
          <w:tab/>
        </w:r>
      </w:p>
    </w:sdtContent>
  </w:sdt>
  <w:p w14:paraId="03A4B47C" w14:textId="77777777" w:rsidR="00A75F80" w:rsidRDefault="00A75F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68905"/>
      <w:docPartObj>
        <w:docPartGallery w:val="Page Numbers (Bottom of Page)"/>
        <w:docPartUnique/>
      </w:docPartObj>
    </w:sdtPr>
    <w:sdtContent>
      <w:p w14:paraId="2FB91BAF" w14:textId="77777777" w:rsidR="00A75F80" w:rsidRDefault="00A75F80">
        <w:pPr>
          <w:pStyle w:val="a5"/>
          <w:jc w:val="center"/>
        </w:pPr>
        <w:r>
          <w:fldChar w:fldCharType="begin"/>
        </w:r>
        <w:r>
          <w:instrText>PAGE   \* MERGEFORMAT</w:instrText>
        </w:r>
        <w:r>
          <w:fldChar w:fldCharType="separate"/>
        </w:r>
        <w:r>
          <w:t>2</w:t>
        </w:r>
        <w:r>
          <w:fldChar w:fldCharType="end"/>
        </w:r>
      </w:p>
    </w:sdtContent>
  </w:sdt>
  <w:p w14:paraId="6B67D42D" w14:textId="77777777" w:rsidR="00A75F80" w:rsidRDefault="00A75F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9006" w14:textId="77777777" w:rsidR="00DF6B06" w:rsidRDefault="00DF6B06" w:rsidP="00467ACF">
      <w:pPr>
        <w:spacing w:after="0" w:line="240" w:lineRule="auto"/>
      </w:pPr>
      <w:bookmarkStart w:id="0" w:name="_Hlk106807181"/>
      <w:bookmarkEnd w:id="0"/>
      <w:r>
        <w:separator/>
      </w:r>
    </w:p>
  </w:footnote>
  <w:footnote w:type="continuationSeparator" w:id="0">
    <w:p w14:paraId="2D42B01F" w14:textId="77777777" w:rsidR="00DF6B06" w:rsidRDefault="00DF6B06" w:rsidP="00467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7CCE" w14:textId="77777777" w:rsidR="008A1378" w:rsidRDefault="008A1378">
    <w:pPr>
      <w:ind w:left="-284"/>
    </w:pPr>
    <w:r>
      <w:rPr>
        <w:noProof/>
        <w:lang w:eastAsia="el-GR"/>
      </w:rPr>
      <w:drawing>
        <wp:inline distT="0" distB="0" distL="0" distR="0" wp14:anchorId="60304298" wp14:editId="3677AC11">
          <wp:extent cx="2431520" cy="673982"/>
          <wp:effectExtent l="0" t="0" r="69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184" cy="677215"/>
                  </a:xfrm>
                  <a:prstGeom prst="rect">
                    <a:avLst/>
                  </a:prstGeom>
                  <a:noFill/>
                </pic:spPr>
              </pic:pic>
            </a:graphicData>
          </a:graphic>
        </wp:inline>
      </w:drawing>
    </w:r>
    <w:r>
      <w:t xml:space="preserve">                                       </w:t>
    </w:r>
    <w:r w:rsidR="00447DA5">
      <w:pict w14:anchorId="6E769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43.5pt">
          <v:imagedata r:id="rId2" o:title="logo-full-700x185"/>
        </v:shape>
      </w:pict>
    </w:r>
    <w:r>
      <w:br/>
    </w:r>
    <w:r>
      <w:rPr>
        <w:b/>
        <w:i/>
        <w:sz w:val="24"/>
        <w:szCs w:val="24"/>
      </w:rPr>
      <w:t xml:space="preserve">    </w:t>
    </w:r>
    <w:proofErr w:type="spellStart"/>
    <w:r>
      <w:rPr>
        <w:b/>
        <w:i/>
        <w:sz w:val="24"/>
        <w:szCs w:val="24"/>
      </w:rPr>
      <w:t>Αρ</w:t>
    </w:r>
    <w:proofErr w:type="spellEnd"/>
    <w:r>
      <w:rPr>
        <w:b/>
        <w:i/>
        <w:sz w:val="24"/>
        <w:szCs w:val="24"/>
      </w:rPr>
      <w:t>. Συμβολαίου. 2020-1-DE02-KA204-007679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6CB6" w14:textId="4073BAFE" w:rsidR="008A1378" w:rsidRDefault="008A1378" w:rsidP="008A1378">
    <w:pPr>
      <w:ind w:left="-284"/>
    </w:pPr>
    <w:r>
      <w:rPr>
        <w:noProof/>
        <w:lang w:eastAsia="el-GR"/>
      </w:rPr>
      <w:drawing>
        <wp:inline distT="0" distB="0" distL="0" distR="0" wp14:anchorId="4C085164" wp14:editId="76275846">
          <wp:extent cx="2431520" cy="673982"/>
          <wp:effectExtent l="0" t="0" r="698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184" cy="677215"/>
                  </a:xfrm>
                  <a:prstGeom prst="rect">
                    <a:avLst/>
                  </a:prstGeom>
                  <a:noFill/>
                </pic:spPr>
              </pic:pic>
            </a:graphicData>
          </a:graphic>
        </wp:inline>
      </w:drawing>
    </w:r>
    <w:r>
      <w:t xml:space="preserve">     </w:t>
    </w:r>
    <w:r>
      <w:rPr>
        <w:lang w:val="en-US"/>
      </w:rPr>
      <w:t xml:space="preserve">               </w:t>
    </w:r>
    <w:r>
      <w:t xml:space="preserve">             </w:t>
    </w:r>
    <w:r>
      <w:rPr>
        <w:noProof/>
        <w:lang w:eastAsia="el-GR" w:bidi="ar-SA"/>
      </w:rPr>
      <w:drawing>
        <wp:inline distT="0" distB="0" distL="0" distR="0" wp14:anchorId="1DF80EFA" wp14:editId="50635B92">
          <wp:extent cx="1933575" cy="552450"/>
          <wp:effectExtent l="0" t="0" r="9525" b="0"/>
          <wp:docPr id="1" name="Εικόνα 1"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inline>
      </w:drawing>
    </w:r>
    <w:r>
      <w:t xml:space="preserve">                     </w:t>
    </w:r>
  </w:p>
  <w:p w14:paraId="173C68BB" w14:textId="4636CFCD" w:rsidR="00467ACF" w:rsidRPr="008A1378" w:rsidRDefault="00467ACF" w:rsidP="008A13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4EC8"/>
    <w:multiLevelType w:val="multilevel"/>
    <w:tmpl w:val="3FC827E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894B0F"/>
    <w:multiLevelType w:val="multilevel"/>
    <w:tmpl w:val="8D0215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30C0493"/>
    <w:multiLevelType w:val="multilevel"/>
    <w:tmpl w:val="1EB43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E61DCA"/>
    <w:multiLevelType w:val="hybridMultilevel"/>
    <w:tmpl w:val="4A72863E"/>
    <w:lvl w:ilvl="0" w:tplc="2AFA14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185030">
    <w:abstractNumId w:val="3"/>
  </w:num>
  <w:num w:numId="2" w16cid:durableId="1954826600">
    <w:abstractNumId w:val="0"/>
  </w:num>
  <w:num w:numId="3" w16cid:durableId="1099133692">
    <w:abstractNumId w:val="4"/>
  </w:num>
  <w:num w:numId="4" w16cid:durableId="836575719">
    <w:abstractNumId w:val="2"/>
  </w:num>
  <w:num w:numId="5" w16cid:durableId="6044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2C"/>
    <w:rsid w:val="00021C78"/>
    <w:rsid w:val="000343C1"/>
    <w:rsid w:val="00062980"/>
    <w:rsid w:val="00066CAF"/>
    <w:rsid w:val="00067368"/>
    <w:rsid w:val="0007112F"/>
    <w:rsid w:val="000777F8"/>
    <w:rsid w:val="000819ED"/>
    <w:rsid w:val="000848F7"/>
    <w:rsid w:val="000B004E"/>
    <w:rsid w:val="000D452B"/>
    <w:rsid w:val="000E6DA7"/>
    <w:rsid w:val="00103795"/>
    <w:rsid w:val="0011564B"/>
    <w:rsid w:val="0011582B"/>
    <w:rsid w:val="00145138"/>
    <w:rsid w:val="0018155A"/>
    <w:rsid w:val="00181DB5"/>
    <w:rsid w:val="00182B89"/>
    <w:rsid w:val="0018355F"/>
    <w:rsid w:val="00186E49"/>
    <w:rsid w:val="001A72B6"/>
    <w:rsid w:val="001E162D"/>
    <w:rsid w:val="001E25FB"/>
    <w:rsid w:val="00204D05"/>
    <w:rsid w:val="00212AD6"/>
    <w:rsid w:val="00214979"/>
    <w:rsid w:val="00220D63"/>
    <w:rsid w:val="002316A1"/>
    <w:rsid w:val="00233BFE"/>
    <w:rsid w:val="002532AA"/>
    <w:rsid w:val="0025391B"/>
    <w:rsid w:val="00272C70"/>
    <w:rsid w:val="00276170"/>
    <w:rsid w:val="0029131C"/>
    <w:rsid w:val="002D01DF"/>
    <w:rsid w:val="002E01C4"/>
    <w:rsid w:val="002E7E5D"/>
    <w:rsid w:val="0030291D"/>
    <w:rsid w:val="00307260"/>
    <w:rsid w:val="0031696A"/>
    <w:rsid w:val="00342D1F"/>
    <w:rsid w:val="00344F53"/>
    <w:rsid w:val="00362448"/>
    <w:rsid w:val="00363058"/>
    <w:rsid w:val="003717E9"/>
    <w:rsid w:val="003744EA"/>
    <w:rsid w:val="003A2104"/>
    <w:rsid w:val="003F7253"/>
    <w:rsid w:val="004128C3"/>
    <w:rsid w:val="004144C8"/>
    <w:rsid w:val="004219D1"/>
    <w:rsid w:val="00422EB2"/>
    <w:rsid w:val="004232DD"/>
    <w:rsid w:val="0043250A"/>
    <w:rsid w:val="00447DA5"/>
    <w:rsid w:val="00467ACF"/>
    <w:rsid w:val="0048005B"/>
    <w:rsid w:val="00487681"/>
    <w:rsid w:val="004930B9"/>
    <w:rsid w:val="0049691A"/>
    <w:rsid w:val="004B50B8"/>
    <w:rsid w:val="004D0646"/>
    <w:rsid w:val="004E5589"/>
    <w:rsid w:val="004F35A3"/>
    <w:rsid w:val="004F367A"/>
    <w:rsid w:val="004F5B56"/>
    <w:rsid w:val="00521BC9"/>
    <w:rsid w:val="00536D44"/>
    <w:rsid w:val="00540185"/>
    <w:rsid w:val="005449D0"/>
    <w:rsid w:val="005616F7"/>
    <w:rsid w:val="00566AD3"/>
    <w:rsid w:val="00572485"/>
    <w:rsid w:val="00585974"/>
    <w:rsid w:val="005932FC"/>
    <w:rsid w:val="00597789"/>
    <w:rsid w:val="005A53E5"/>
    <w:rsid w:val="005A6621"/>
    <w:rsid w:val="006056A2"/>
    <w:rsid w:val="006069BC"/>
    <w:rsid w:val="00616176"/>
    <w:rsid w:val="00620758"/>
    <w:rsid w:val="00631001"/>
    <w:rsid w:val="006368AA"/>
    <w:rsid w:val="00640B5F"/>
    <w:rsid w:val="00645844"/>
    <w:rsid w:val="00672B1D"/>
    <w:rsid w:val="00680365"/>
    <w:rsid w:val="00687034"/>
    <w:rsid w:val="00697A20"/>
    <w:rsid w:val="00697C14"/>
    <w:rsid w:val="006A1AA0"/>
    <w:rsid w:val="006B0425"/>
    <w:rsid w:val="006B7606"/>
    <w:rsid w:val="006C4206"/>
    <w:rsid w:val="006E4A68"/>
    <w:rsid w:val="006E4CA4"/>
    <w:rsid w:val="006F04CF"/>
    <w:rsid w:val="006F4B17"/>
    <w:rsid w:val="006F7D01"/>
    <w:rsid w:val="0071055F"/>
    <w:rsid w:val="0071542C"/>
    <w:rsid w:val="00722A75"/>
    <w:rsid w:val="007438CF"/>
    <w:rsid w:val="00751902"/>
    <w:rsid w:val="0075525F"/>
    <w:rsid w:val="0076565B"/>
    <w:rsid w:val="00771E2C"/>
    <w:rsid w:val="00793F41"/>
    <w:rsid w:val="007B1246"/>
    <w:rsid w:val="007C2ED2"/>
    <w:rsid w:val="007D3C34"/>
    <w:rsid w:val="007D48C6"/>
    <w:rsid w:val="008000E7"/>
    <w:rsid w:val="008011E2"/>
    <w:rsid w:val="00816881"/>
    <w:rsid w:val="0082560A"/>
    <w:rsid w:val="00837D3D"/>
    <w:rsid w:val="00841030"/>
    <w:rsid w:val="008603ED"/>
    <w:rsid w:val="00877689"/>
    <w:rsid w:val="00883D22"/>
    <w:rsid w:val="00884E0C"/>
    <w:rsid w:val="0088531F"/>
    <w:rsid w:val="00885C1A"/>
    <w:rsid w:val="0089043F"/>
    <w:rsid w:val="008912DF"/>
    <w:rsid w:val="008A02FD"/>
    <w:rsid w:val="008A1378"/>
    <w:rsid w:val="008B130B"/>
    <w:rsid w:val="008D5FE0"/>
    <w:rsid w:val="008F0601"/>
    <w:rsid w:val="0090318B"/>
    <w:rsid w:val="00905AD1"/>
    <w:rsid w:val="00910853"/>
    <w:rsid w:val="009117D3"/>
    <w:rsid w:val="009201BC"/>
    <w:rsid w:val="009275B8"/>
    <w:rsid w:val="0093145D"/>
    <w:rsid w:val="00931727"/>
    <w:rsid w:val="00935D12"/>
    <w:rsid w:val="00940438"/>
    <w:rsid w:val="009556EB"/>
    <w:rsid w:val="009848B6"/>
    <w:rsid w:val="009C54EF"/>
    <w:rsid w:val="009C7690"/>
    <w:rsid w:val="009C7C8A"/>
    <w:rsid w:val="009F35C7"/>
    <w:rsid w:val="009F4E82"/>
    <w:rsid w:val="00A146E7"/>
    <w:rsid w:val="00A16EB6"/>
    <w:rsid w:val="00A17D59"/>
    <w:rsid w:val="00A234F6"/>
    <w:rsid w:val="00A30F31"/>
    <w:rsid w:val="00A451FD"/>
    <w:rsid w:val="00A75F80"/>
    <w:rsid w:val="00AB4DA4"/>
    <w:rsid w:val="00AD1B81"/>
    <w:rsid w:val="00B237B0"/>
    <w:rsid w:val="00B23CF1"/>
    <w:rsid w:val="00B2761F"/>
    <w:rsid w:val="00B41721"/>
    <w:rsid w:val="00B51E67"/>
    <w:rsid w:val="00B657F7"/>
    <w:rsid w:val="00B746C7"/>
    <w:rsid w:val="00B76393"/>
    <w:rsid w:val="00B80B76"/>
    <w:rsid w:val="00B82BAF"/>
    <w:rsid w:val="00BC5667"/>
    <w:rsid w:val="00BD1F61"/>
    <w:rsid w:val="00C10929"/>
    <w:rsid w:val="00C130D9"/>
    <w:rsid w:val="00C248CC"/>
    <w:rsid w:val="00C40365"/>
    <w:rsid w:val="00C67326"/>
    <w:rsid w:val="00C95850"/>
    <w:rsid w:val="00CB1807"/>
    <w:rsid w:val="00CB3F19"/>
    <w:rsid w:val="00CB4306"/>
    <w:rsid w:val="00CB721E"/>
    <w:rsid w:val="00D257AD"/>
    <w:rsid w:val="00D37BFF"/>
    <w:rsid w:val="00D43B36"/>
    <w:rsid w:val="00D449D6"/>
    <w:rsid w:val="00D50B41"/>
    <w:rsid w:val="00D63027"/>
    <w:rsid w:val="00D74986"/>
    <w:rsid w:val="00D90895"/>
    <w:rsid w:val="00DA0B6F"/>
    <w:rsid w:val="00DA7B8C"/>
    <w:rsid w:val="00DC173D"/>
    <w:rsid w:val="00DC1832"/>
    <w:rsid w:val="00DE1011"/>
    <w:rsid w:val="00DF1323"/>
    <w:rsid w:val="00DF3457"/>
    <w:rsid w:val="00DF6B06"/>
    <w:rsid w:val="00E1470D"/>
    <w:rsid w:val="00E16DC0"/>
    <w:rsid w:val="00E516A5"/>
    <w:rsid w:val="00E67071"/>
    <w:rsid w:val="00E71CCE"/>
    <w:rsid w:val="00E72BF7"/>
    <w:rsid w:val="00E73449"/>
    <w:rsid w:val="00E85E44"/>
    <w:rsid w:val="00EB5986"/>
    <w:rsid w:val="00ED2520"/>
    <w:rsid w:val="00EE13AE"/>
    <w:rsid w:val="00F026A6"/>
    <w:rsid w:val="00F04F02"/>
    <w:rsid w:val="00F1309D"/>
    <w:rsid w:val="00F1751D"/>
    <w:rsid w:val="00F35375"/>
    <w:rsid w:val="00F52C31"/>
    <w:rsid w:val="00F60B80"/>
    <w:rsid w:val="00F7344A"/>
    <w:rsid w:val="00F75DCA"/>
    <w:rsid w:val="00F92987"/>
    <w:rsid w:val="00F92A70"/>
    <w:rsid w:val="00FA60C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D61249"/>
  <w15:docId w15:val="{A8368A2F-45B2-4731-932F-775C8475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B4DA4"/>
    <w:pPr>
      <w:keepNext/>
      <w:keepLines/>
      <w:spacing w:before="240" w:after="0" w:line="360" w:lineRule="auto"/>
      <w:jc w:val="center"/>
      <w:outlineLvl w:val="0"/>
    </w:pPr>
    <w:rPr>
      <w:rFonts w:ascii="Calibri" w:eastAsiaTheme="majorEastAsia" w:hAnsi="Calibri" w:cstheme="majorBidi"/>
      <w:b/>
      <w:sz w:val="24"/>
      <w:szCs w:val="32"/>
      <w:lang w:val="en-US"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E2C"/>
    <w:pPr>
      <w:ind w:left="720"/>
      <w:contextualSpacing/>
    </w:pPr>
  </w:style>
  <w:style w:type="paragraph" w:styleId="a4">
    <w:name w:val="header"/>
    <w:basedOn w:val="a"/>
    <w:link w:val="Char"/>
    <w:uiPriority w:val="99"/>
    <w:unhideWhenUsed/>
    <w:rsid w:val="00467ACF"/>
    <w:pPr>
      <w:tabs>
        <w:tab w:val="center" w:pos="4153"/>
        <w:tab w:val="right" w:pos="8306"/>
      </w:tabs>
      <w:spacing w:after="0" w:line="240" w:lineRule="auto"/>
    </w:pPr>
  </w:style>
  <w:style w:type="character" w:customStyle="1" w:styleId="Char">
    <w:name w:val="Κεφαλίδα Char"/>
    <w:basedOn w:val="a0"/>
    <w:link w:val="a4"/>
    <w:uiPriority w:val="99"/>
    <w:rsid w:val="00467ACF"/>
  </w:style>
  <w:style w:type="paragraph" w:styleId="a5">
    <w:name w:val="footer"/>
    <w:basedOn w:val="a"/>
    <w:link w:val="Char0"/>
    <w:uiPriority w:val="99"/>
    <w:unhideWhenUsed/>
    <w:rsid w:val="00467ACF"/>
    <w:pPr>
      <w:tabs>
        <w:tab w:val="center" w:pos="4153"/>
        <w:tab w:val="right" w:pos="8306"/>
      </w:tabs>
      <w:spacing w:after="0" w:line="240" w:lineRule="auto"/>
    </w:pPr>
  </w:style>
  <w:style w:type="character" w:customStyle="1" w:styleId="Char0">
    <w:name w:val="Υποσέλιδο Char"/>
    <w:basedOn w:val="a0"/>
    <w:link w:val="a5"/>
    <w:uiPriority w:val="99"/>
    <w:rsid w:val="00467ACF"/>
  </w:style>
  <w:style w:type="character" w:customStyle="1" w:styleId="1Char">
    <w:name w:val="Επικεφαλίδα 1 Char"/>
    <w:basedOn w:val="a0"/>
    <w:link w:val="1"/>
    <w:uiPriority w:val="9"/>
    <w:rsid w:val="00AB4DA4"/>
    <w:rPr>
      <w:rFonts w:ascii="Calibri" w:eastAsiaTheme="majorEastAsia" w:hAnsi="Calibri" w:cstheme="majorBidi"/>
      <w:b/>
      <w:sz w:val="24"/>
      <w:szCs w:val="32"/>
      <w:lang w:val="en-US" w:eastAsia="el-GR" w:bidi="ar-SA"/>
    </w:rPr>
  </w:style>
  <w:style w:type="paragraph" w:styleId="a6">
    <w:name w:val="Balloon Text"/>
    <w:basedOn w:val="a"/>
    <w:link w:val="Char1"/>
    <w:uiPriority w:val="99"/>
    <w:semiHidden/>
    <w:unhideWhenUsed/>
    <w:rsid w:val="008A137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A1378"/>
    <w:rPr>
      <w:rFonts w:ascii="Tahoma" w:hAnsi="Tahoma" w:cs="Tahoma"/>
      <w:sz w:val="16"/>
      <w:szCs w:val="16"/>
    </w:rPr>
  </w:style>
  <w:style w:type="paragraph" w:styleId="10">
    <w:name w:val="toc 1"/>
    <w:basedOn w:val="a"/>
    <w:next w:val="a"/>
    <w:autoRedefine/>
    <w:uiPriority w:val="39"/>
    <w:unhideWhenUsed/>
    <w:rsid w:val="008011E2"/>
    <w:pPr>
      <w:spacing w:after="100"/>
    </w:pPr>
  </w:style>
  <w:style w:type="character" w:styleId="-">
    <w:name w:val="Hyperlink"/>
    <w:basedOn w:val="a0"/>
    <w:uiPriority w:val="99"/>
    <w:unhideWhenUsed/>
    <w:rsid w:val="008011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yperlink" Target="https://www.hopkinsmedicine.org/health/conditions-and-diseases/malnutrition"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s://www.who.int/news-room/facts-in-pictures/detail/immunization"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5" Type="http://schemas.openxmlformats.org/officeDocument/2006/relationships/hyperlink" Target="https://www.hopkinsmedicine.org/health/wellness-and-prevention/abcs-of-eating-smart-for-a-healthy-heart" TargetMode="External"/><Relationship Id="rId33" Type="http://schemas.openxmlformats.org/officeDocument/2006/relationships/hyperlink" Target="https://www.euro.who.int/en/health-topics/health-determinants/migration-and-health/publications/2018/report-on-the-health-of-refugees-and-migrants-in-the-who-european-region-no-public-health-without-refugee-and-migrant-health-2018" TargetMode="External"/><Relationship Id="rId38"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mig-dhl.eu/" TargetMode="External"/><Relationship Id="rId29" Type="http://schemas.openxmlformats.org/officeDocument/2006/relationships/hyperlink" Target="https://www.who.int/water_sanitation_health/hygiene/settings/hvchap8.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hopkinsmedicine.org/health/treatment-tests-and-therapies/screening-tests-for-common-diseases" TargetMode="External"/><Relationship Id="rId32" Type="http://schemas.openxmlformats.org/officeDocument/2006/relationships/hyperlink" Target="https://www.who.int/news-room/facts-in-pictures/detail/nutrition" TargetMode="External"/><Relationship Id="rId37" Type="http://schemas.openxmlformats.org/officeDocument/2006/relationships/hyperlink" Target="https://www.unhcr.org/55f6b90f9.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www.europarl.europa.eu/RegData/etudes/IDAN/2017/602004/IPOL_IDA(2017)602004_EN.pdf" TargetMode="External"/><Relationship Id="rId28" Type="http://schemas.openxmlformats.org/officeDocument/2006/relationships/hyperlink" Target="https://www.startts.org.au/media/Resource-Working-with-Refugees-Social-Worker-Guide.pdf" TargetMode="External"/><Relationship Id="rId36" Type="http://schemas.openxmlformats.org/officeDocument/2006/relationships/hyperlink" Target="https://www.unicef.org/eca/health/immunization" TargetMode="External"/><Relationship Id="rId10" Type="http://schemas.openxmlformats.org/officeDocument/2006/relationships/image" Target="media/image3.jpg"/><Relationship Id="rId19" Type="http://schemas.openxmlformats.org/officeDocument/2006/relationships/footer" Target="footer2.xml"/><Relationship Id="rId31" Type="http://schemas.openxmlformats.org/officeDocument/2006/relationships/hyperlink" Target="https://www.who.int/vaccine_safety/initiative/tech_support/Vaccine-safety-E-course-manual.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2.xml"/><Relationship Id="rId27" Type="http://schemas.openxmlformats.org/officeDocument/2006/relationships/hyperlink" Target="https://pubs.niaaa.nih.gov/publications/aa71/aa71.htm" TargetMode="External"/><Relationship Id="rId30" Type="http://schemas.openxmlformats.org/officeDocument/2006/relationships/hyperlink" Target="https://www.euro.who.int/__data/assets/pdf_file/0005/293270/Migration-Health-Key-Issues-.pdf" TargetMode="External"/><Relationship Id="rId35" Type="http://schemas.openxmlformats.org/officeDocument/2006/relationships/hyperlink" Target="https://www.who.int/health-topics/vaccines-and-immuniz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4C67-83B0-45E0-927E-0F82FCF3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3424</Words>
  <Characters>18493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Panagiotidi</dc:creator>
  <cp:keywords/>
  <dc:description/>
  <cp:lastModifiedBy>pantelis balaouras</cp:lastModifiedBy>
  <cp:revision>10</cp:revision>
  <cp:lastPrinted>2022-07-28T08:31:00Z</cp:lastPrinted>
  <dcterms:created xsi:type="dcterms:W3CDTF">2022-07-28T08:26:00Z</dcterms:created>
  <dcterms:modified xsi:type="dcterms:W3CDTF">2022-07-28T08:31:00Z</dcterms:modified>
</cp:coreProperties>
</file>