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8D24" w14:textId="77777777" w:rsidR="00426980" w:rsidRDefault="00426980">
      <w:pPr>
        <w:widowControl w:val="0"/>
        <w:pBdr>
          <w:top w:val="nil"/>
          <w:left w:val="nil"/>
          <w:bottom w:val="nil"/>
          <w:right w:val="nil"/>
          <w:between w:val="nil"/>
        </w:pBdr>
        <w:spacing w:after="0" w:line="276" w:lineRule="auto"/>
        <w:jc w:val="left"/>
      </w:pPr>
    </w:p>
    <w:p w14:paraId="336A5321" w14:textId="77777777" w:rsidR="00426980" w:rsidRDefault="00426980">
      <w:pPr>
        <w:pStyle w:val="1"/>
        <w:jc w:val="both"/>
      </w:pPr>
      <w:bookmarkStart w:id="0" w:name="_heading=h.t007xifp5pal" w:colFirst="0" w:colLast="0"/>
      <w:bookmarkEnd w:id="0"/>
    </w:p>
    <w:p w14:paraId="1103E38C" w14:textId="77777777" w:rsidR="00426980" w:rsidRDefault="004F7B96">
      <w:pPr>
        <w:rPr>
          <w:sz w:val="24"/>
          <w:szCs w:val="24"/>
        </w:rPr>
      </w:pPr>
      <w:r>
        <w:rPr>
          <w:noProof/>
          <w:sz w:val="24"/>
          <w:szCs w:val="24"/>
          <w:lang w:val="el-GR" w:eastAsia="el-GR"/>
        </w:rPr>
        <w:drawing>
          <wp:inline distT="0" distB="0" distL="0" distR="0" wp14:anchorId="2590711B" wp14:editId="314FF067">
            <wp:extent cx="5731510" cy="1516380"/>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731510" cy="1516380"/>
                    </a:xfrm>
                    <a:prstGeom prst="rect">
                      <a:avLst/>
                    </a:prstGeom>
                    <a:ln/>
                  </pic:spPr>
                </pic:pic>
              </a:graphicData>
            </a:graphic>
          </wp:inline>
        </w:drawing>
      </w:r>
    </w:p>
    <w:p w14:paraId="5D3D1B12" w14:textId="06A0D17C" w:rsidR="00426980" w:rsidRPr="000A2839" w:rsidRDefault="000A2839">
      <w:pPr>
        <w:jc w:val="center"/>
        <w:rPr>
          <w:b/>
          <w:color w:val="C00000"/>
          <w:sz w:val="96"/>
          <w:szCs w:val="96"/>
          <w:lang w:val="el-GR"/>
        </w:rPr>
      </w:pPr>
      <w:r>
        <w:rPr>
          <w:b/>
          <w:color w:val="C00000"/>
          <w:sz w:val="96"/>
          <w:szCs w:val="96"/>
          <w:lang w:val="el-GR"/>
        </w:rPr>
        <w:t>Εγχειρίδιο</w:t>
      </w:r>
    </w:p>
    <w:p w14:paraId="0C4457A3" w14:textId="7E4730E5" w:rsidR="00426980" w:rsidRPr="000A2839" w:rsidRDefault="000A2839">
      <w:pPr>
        <w:jc w:val="center"/>
        <w:rPr>
          <w:b/>
          <w:color w:val="C00000"/>
          <w:sz w:val="32"/>
          <w:szCs w:val="32"/>
          <w:lang w:val="el-GR"/>
        </w:rPr>
      </w:pPr>
      <w:r>
        <w:rPr>
          <w:b/>
          <w:color w:val="C00000"/>
          <w:sz w:val="40"/>
          <w:szCs w:val="40"/>
          <w:lang w:val="el-GR"/>
        </w:rPr>
        <w:t>Θεματική Ενότητα</w:t>
      </w:r>
      <w:r w:rsidR="004F7B96" w:rsidRPr="000A2839">
        <w:rPr>
          <w:b/>
          <w:color w:val="C00000"/>
          <w:sz w:val="40"/>
          <w:szCs w:val="40"/>
          <w:lang w:val="el-GR"/>
        </w:rPr>
        <w:t xml:space="preserve"> 3</w:t>
      </w:r>
      <w:r w:rsidR="004F7B96" w:rsidRPr="000A2839">
        <w:rPr>
          <w:b/>
          <w:sz w:val="40"/>
          <w:szCs w:val="40"/>
          <w:lang w:val="el-GR"/>
        </w:rPr>
        <w:br/>
      </w:r>
      <w:r>
        <w:rPr>
          <w:sz w:val="40"/>
          <w:szCs w:val="40"/>
          <w:lang w:val="el-GR"/>
        </w:rPr>
        <w:t>Υπηρεσίες Υγειονομικής Περίθαλψης</w:t>
      </w:r>
    </w:p>
    <w:p w14:paraId="5EDCA5C5" w14:textId="77777777" w:rsidR="000C0D2C" w:rsidRDefault="000C0D2C">
      <w:pPr>
        <w:rPr>
          <w:b/>
          <w:color w:val="C00000"/>
          <w:sz w:val="32"/>
          <w:szCs w:val="32"/>
          <w:lang w:val="el-GR"/>
        </w:rPr>
      </w:pPr>
    </w:p>
    <w:p w14:paraId="34E2B061" w14:textId="74F7BB62" w:rsidR="00426980" w:rsidRPr="000A2839" w:rsidRDefault="000A2839">
      <w:pPr>
        <w:rPr>
          <w:sz w:val="28"/>
          <w:szCs w:val="28"/>
          <w:lang w:val="el-GR"/>
        </w:rPr>
      </w:pPr>
      <w:r>
        <w:rPr>
          <w:b/>
          <w:color w:val="C00000"/>
          <w:sz w:val="32"/>
          <w:szCs w:val="32"/>
          <w:lang w:val="el-GR"/>
        </w:rPr>
        <w:t>Συγγραφείς</w:t>
      </w:r>
      <w:r w:rsidR="004F7B96" w:rsidRPr="000A2839">
        <w:rPr>
          <w:b/>
          <w:color w:val="C00000"/>
          <w:sz w:val="32"/>
          <w:szCs w:val="32"/>
          <w:lang w:val="el-GR"/>
        </w:rPr>
        <w:t>:</w:t>
      </w:r>
      <w:r w:rsidR="004F7B96" w:rsidRPr="000A2839">
        <w:rPr>
          <w:b/>
          <w:color w:val="C00000"/>
          <w:sz w:val="32"/>
          <w:szCs w:val="32"/>
          <w:lang w:val="el-GR"/>
        </w:rPr>
        <w:br/>
      </w:r>
      <w:r>
        <w:rPr>
          <w:sz w:val="28"/>
          <w:szCs w:val="28"/>
          <w:lang w:val="el-GR"/>
        </w:rPr>
        <w:t xml:space="preserve">Σοφία </w:t>
      </w:r>
      <w:proofErr w:type="spellStart"/>
      <w:r>
        <w:rPr>
          <w:sz w:val="28"/>
          <w:szCs w:val="28"/>
          <w:lang w:val="el-GR"/>
        </w:rPr>
        <w:t>Τζιρίτα</w:t>
      </w:r>
      <w:proofErr w:type="spellEnd"/>
      <w:r w:rsidR="004F7B96" w:rsidRPr="000A2839">
        <w:rPr>
          <w:sz w:val="28"/>
          <w:szCs w:val="28"/>
          <w:lang w:val="el-GR"/>
        </w:rPr>
        <w:t xml:space="preserve">, </w:t>
      </w:r>
      <w:r w:rsidR="004F7B96">
        <w:rPr>
          <w:sz w:val="28"/>
          <w:szCs w:val="28"/>
        </w:rPr>
        <w:t>Prolepsis</w:t>
      </w:r>
      <w:r w:rsidR="004F7B96" w:rsidRPr="000A2839">
        <w:rPr>
          <w:sz w:val="28"/>
          <w:szCs w:val="28"/>
          <w:lang w:val="el-GR"/>
        </w:rPr>
        <w:t xml:space="preserve">; </w:t>
      </w:r>
      <w:r>
        <w:rPr>
          <w:sz w:val="28"/>
          <w:szCs w:val="28"/>
          <w:lang w:val="el-GR"/>
        </w:rPr>
        <w:t xml:space="preserve">Νικόλ </w:t>
      </w:r>
      <w:proofErr w:type="spellStart"/>
      <w:r>
        <w:rPr>
          <w:sz w:val="28"/>
          <w:szCs w:val="28"/>
          <w:lang w:val="el-GR"/>
        </w:rPr>
        <w:t>Παπαευγενίου</w:t>
      </w:r>
      <w:proofErr w:type="spellEnd"/>
      <w:r w:rsidR="004F7B96" w:rsidRPr="000A2839">
        <w:rPr>
          <w:sz w:val="28"/>
          <w:szCs w:val="28"/>
          <w:lang w:val="el-GR"/>
        </w:rPr>
        <w:t xml:space="preserve">, </w:t>
      </w:r>
      <w:r w:rsidR="004F7B96">
        <w:rPr>
          <w:sz w:val="28"/>
          <w:szCs w:val="28"/>
        </w:rPr>
        <w:t>Prolepsis</w:t>
      </w:r>
      <w:r w:rsidR="004F7B96" w:rsidRPr="000A2839">
        <w:rPr>
          <w:sz w:val="28"/>
          <w:szCs w:val="28"/>
          <w:lang w:val="el-GR"/>
        </w:rPr>
        <w:t xml:space="preserve">; </w:t>
      </w:r>
      <w:proofErr w:type="spellStart"/>
      <w:r>
        <w:rPr>
          <w:sz w:val="28"/>
          <w:szCs w:val="28"/>
          <w:lang w:val="el-GR"/>
        </w:rPr>
        <w:t>Πάνια</w:t>
      </w:r>
      <w:proofErr w:type="spellEnd"/>
      <w:r>
        <w:rPr>
          <w:sz w:val="28"/>
          <w:szCs w:val="28"/>
          <w:lang w:val="el-GR"/>
        </w:rPr>
        <w:t xml:space="preserve"> </w:t>
      </w:r>
      <w:proofErr w:type="spellStart"/>
      <w:r>
        <w:rPr>
          <w:sz w:val="28"/>
          <w:szCs w:val="28"/>
          <w:lang w:val="el-GR"/>
        </w:rPr>
        <w:t>Καρνάκη</w:t>
      </w:r>
      <w:proofErr w:type="spellEnd"/>
      <w:r w:rsidR="004F7B96" w:rsidRPr="000A2839">
        <w:rPr>
          <w:sz w:val="28"/>
          <w:szCs w:val="28"/>
          <w:lang w:val="el-GR"/>
        </w:rPr>
        <w:t xml:space="preserve">, </w:t>
      </w:r>
      <w:r w:rsidR="004F7B96">
        <w:rPr>
          <w:sz w:val="28"/>
          <w:szCs w:val="28"/>
        </w:rPr>
        <w:t>Prolepsis</w:t>
      </w:r>
    </w:p>
    <w:p w14:paraId="77953A7F" w14:textId="77777777" w:rsidR="00426980" w:rsidRPr="000A2839" w:rsidRDefault="00426980">
      <w:pPr>
        <w:rPr>
          <w:sz w:val="28"/>
          <w:szCs w:val="28"/>
          <w:lang w:val="el-GR"/>
        </w:rPr>
      </w:pPr>
    </w:p>
    <w:p w14:paraId="32F2225C" w14:textId="77777777" w:rsidR="00426980" w:rsidRPr="000A2839" w:rsidRDefault="00426980">
      <w:pPr>
        <w:rPr>
          <w:sz w:val="16"/>
          <w:szCs w:val="16"/>
          <w:lang w:val="el-GR"/>
        </w:rPr>
      </w:pPr>
    </w:p>
    <w:tbl>
      <w:tblPr>
        <w:tblStyle w:val="af0"/>
        <w:tblW w:w="9026" w:type="dxa"/>
        <w:jc w:val="center"/>
        <w:tblBorders>
          <w:top w:val="nil"/>
          <w:left w:val="nil"/>
          <w:bottom w:val="nil"/>
          <w:right w:val="nil"/>
          <w:insideH w:val="nil"/>
          <w:insideV w:val="nil"/>
        </w:tblBorders>
        <w:tblLayout w:type="fixed"/>
        <w:tblLook w:val="0400" w:firstRow="0" w:lastRow="0" w:firstColumn="0" w:lastColumn="0" w:noHBand="0" w:noVBand="1"/>
      </w:tblPr>
      <w:tblGrid>
        <w:gridCol w:w="236"/>
        <w:gridCol w:w="1792"/>
        <w:gridCol w:w="1026"/>
        <w:gridCol w:w="1500"/>
        <w:gridCol w:w="1104"/>
        <w:gridCol w:w="1847"/>
        <w:gridCol w:w="1511"/>
        <w:gridCol w:w="10"/>
      </w:tblGrid>
      <w:tr w:rsidR="00426980" w14:paraId="608A2C95" w14:textId="77777777">
        <w:trPr>
          <w:jc w:val="center"/>
        </w:trPr>
        <w:tc>
          <w:tcPr>
            <w:tcW w:w="1956" w:type="dxa"/>
            <w:gridSpan w:val="2"/>
          </w:tcPr>
          <w:p w14:paraId="0E1CDF98" w14:textId="77777777" w:rsidR="00426980" w:rsidRDefault="004F7B96">
            <w:pPr>
              <w:rPr>
                <w:sz w:val="16"/>
                <w:szCs w:val="16"/>
              </w:rPr>
            </w:pPr>
            <w:r>
              <w:rPr>
                <w:noProof/>
                <w:sz w:val="16"/>
                <w:szCs w:val="16"/>
                <w:lang w:val="el-GR" w:eastAsia="el-GR"/>
              </w:rPr>
              <w:drawing>
                <wp:inline distT="0" distB="0" distL="0" distR="0" wp14:anchorId="62C676DC" wp14:editId="72CAAEC9">
                  <wp:extent cx="1125908" cy="634403"/>
                  <wp:effectExtent l="0" t="0" r="0" 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b="18123"/>
                          <a:stretch>
                            <a:fillRect/>
                          </a:stretch>
                        </pic:blipFill>
                        <pic:spPr>
                          <a:xfrm>
                            <a:off x="0" y="0"/>
                            <a:ext cx="1125908" cy="634403"/>
                          </a:xfrm>
                          <a:prstGeom prst="rect">
                            <a:avLst/>
                          </a:prstGeom>
                          <a:ln/>
                        </pic:spPr>
                      </pic:pic>
                    </a:graphicData>
                  </a:graphic>
                </wp:inline>
              </w:drawing>
            </w:r>
          </w:p>
        </w:tc>
        <w:tc>
          <w:tcPr>
            <w:tcW w:w="1036" w:type="dxa"/>
          </w:tcPr>
          <w:p w14:paraId="04BA783B" w14:textId="77777777" w:rsidR="00426980" w:rsidRDefault="004F7B96">
            <w:pPr>
              <w:rPr>
                <w:sz w:val="16"/>
                <w:szCs w:val="16"/>
              </w:rPr>
            </w:pPr>
            <w:r>
              <w:rPr>
                <w:noProof/>
                <w:lang w:val="el-GR" w:eastAsia="el-GR"/>
              </w:rPr>
              <w:drawing>
                <wp:anchor distT="0" distB="0" distL="114300" distR="114300" simplePos="0" relativeHeight="251655680" behindDoc="0" locked="0" layoutInCell="1" hidden="0" allowOverlap="1" wp14:anchorId="64A03F31" wp14:editId="011D6511">
                  <wp:simplePos x="0" y="0"/>
                  <wp:positionH relativeFrom="column">
                    <wp:posOffset>33656</wp:posOffset>
                  </wp:positionH>
                  <wp:positionV relativeFrom="paragraph">
                    <wp:posOffset>-230956</wp:posOffset>
                  </wp:positionV>
                  <wp:extent cx="688063" cy="895980"/>
                  <wp:effectExtent l="0" t="0" r="0" b="0"/>
                  <wp:wrapNone/>
                  <wp:docPr id="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0"/>
                          <a:srcRect l="17249" t="9421" r="16570" b="12063"/>
                          <a:stretch>
                            <a:fillRect/>
                          </a:stretch>
                        </pic:blipFill>
                        <pic:spPr>
                          <a:xfrm>
                            <a:off x="0" y="0"/>
                            <a:ext cx="688063" cy="895980"/>
                          </a:xfrm>
                          <a:prstGeom prst="rect">
                            <a:avLst/>
                          </a:prstGeom>
                          <a:ln/>
                        </pic:spPr>
                      </pic:pic>
                    </a:graphicData>
                  </a:graphic>
                </wp:anchor>
              </w:drawing>
            </w:r>
          </w:p>
        </w:tc>
        <w:tc>
          <w:tcPr>
            <w:tcW w:w="2632" w:type="dxa"/>
            <w:gridSpan w:val="2"/>
          </w:tcPr>
          <w:p w14:paraId="00A310C8" w14:textId="77777777" w:rsidR="00426980" w:rsidRDefault="004F7B96">
            <w:pPr>
              <w:rPr>
                <w:sz w:val="16"/>
                <w:szCs w:val="16"/>
              </w:rPr>
            </w:pPr>
            <w:r>
              <w:rPr>
                <w:noProof/>
                <w:lang w:val="el-GR" w:eastAsia="el-GR"/>
              </w:rPr>
              <w:drawing>
                <wp:anchor distT="0" distB="0" distL="114300" distR="114300" simplePos="0" relativeHeight="251659776" behindDoc="0" locked="0" layoutInCell="1" hidden="0" allowOverlap="1" wp14:anchorId="444ECFA5" wp14:editId="5FBAEACE">
                  <wp:simplePos x="0" y="0"/>
                  <wp:positionH relativeFrom="column">
                    <wp:posOffset>69120</wp:posOffset>
                  </wp:positionH>
                  <wp:positionV relativeFrom="paragraph">
                    <wp:posOffset>126365</wp:posOffset>
                  </wp:positionV>
                  <wp:extent cx="1534538" cy="484360"/>
                  <wp:effectExtent l="0" t="0" r="0" b="0"/>
                  <wp:wrapSquare wrapText="bothSides" distT="0" distB="0" distL="114300" distR="11430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b="22683"/>
                          <a:stretch>
                            <a:fillRect/>
                          </a:stretch>
                        </pic:blipFill>
                        <pic:spPr>
                          <a:xfrm>
                            <a:off x="0" y="0"/>
                            <a:ext cx="1534538" cy="484360"/>
                          </a:xfrm>
                          <a:prstGeom prst="rect">
                            <a:avLst/>
                          </a:prstGeom>
                          <a:ln/>
                        </pic:spPr>
                      </pic:pic>
                    </a:graphicData>
                  </a:graphic>
                </wp:anchor>
              </w:drawing>
            </w:r>
          </w:p>
        </w:tc>
        <w:tc>
          <w:tcPr>
            <w:tcW w:w="1866" w:type="dxa"/>
          </w:tcPr>
          <w:p w14:paraId="0AC7759E" w14:textId="77777777" w:rsidR="00426980" w:rsidRDefault="004F7B96">
            <w:pPr>
              <w:rPr>
                <w:sz w:val="16"/>
                <w:szCs w:val="16"/>
              </w:rPr>
            </w:pPr>
            <w:r>
              <w:rPr>
                <w:noProof/>
                <w:sz w:val="16"/>
                <w:szCs w:val="16"/>
                <w:lang w:val="el-GR" w:eastAsia="el-GR"/>
              </w:rPr>
              <w:drawing>
                <wp:inline distT="0" distB="0" distL="0" distR="0" wp14:anchorId="4BB8CAF3" wp14:editId="20CED26E">
                  <wp:extent cx="1049772" cy="587659"/>
                  <wp:effectExtent l="0" t="0" r="0" b="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l="21020" r="20316" b="18194"/>
                          <a:stretch>
                            <a:fillRect/>
                          </a:stretch>
                        </pic:blipFill>
                        <pic:spPr>
                          <a:xfrm>
                            <a:off x="0" y="0"/>
                            <a:ext cx="1049772" cy="587659"/>
                          </a:xfrm>
                          <a:prstGeom prst="rect">
                            <a:avLst/>
                          </a:prstGeom>
                          <a:ln/>
                        </pic:spPr>
                      </pic:pic>
                    </a:graphicData>
                  </a:graphic>
                </wp:inline>
              </w:drawing>
            </w:r>
          </w:p>
        </w:tc>
        <w:tc>
          <w:tcPr>
            <w:tcW w:w="1536" w:type="dxa"/>
            <w:gridSpan w:val="2"/>
          </w:tcPr>
          <w:p w14:paraId="20F7E147" w14:textId="77777777" w:rsidR="00426980" w:rsidRDefault="004F7B96">
            <w:pPr>
              <w:rPr>
                <w:sz w:val="16"/>
                <w:szCs w:val="16"/>
              </w:rPr>
            </w:pPr>
            <w:r>
              <w:rPr>
                <w:noProof/>
                <w:sz w:val="16"/>
                <w:szCs w:val="16"/>
                <w:lang w:val="el-GR" w:eastAsia="el-GR"/>
              </w:rPr>
              <w:drawing>
                <wp:inline distT="0" distB="0" distL="0" distR="0" wp14:anchorId="65E8404E" wp14:editId="396B92FD">
                  <wp:extent cx="846290" cy="630274"/>
                  <wp:effectExtent l="0" t="0" r="0" b="0"/>
                  <wp:docPr id="1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3"/>
                          <a:srcRect l="13851" t="35173" r="12037" b="11431"/>
                          <a:stretch>
                            <a:fillRect/>
                          </a:stretch>
                        </pic:blipFill>
                        <pic:spPr>
                          <a:xfrm>
                            <a:off x="0" y="0"/>
                            <a:ext cx="846290" cy="630274"/>
                          </a:xfrm>
                          <a:prstGeom prst="rect">
                            <a:avLst/>
                          </a:prstGeom>
                          <a:ln/>
                        </pic:spPr>
                      </pic:pic>
                    </a:graphicData>
                  </a:graphic>
                </wp:inline>
              </w:drawing>
            </w:r>
          </w:p>
        </w:tc>
      </w:tr>
      <w:tr w:rsidR="00426980" w14:paraId="405AD237" w14:textId="77777777">
        <w:trPr>
          <w:gridAfter w:val="1"/>
          <w:wAfter w:w="10" w:type="dxa"/>
          <w:jc w:val="center"/>
        </w:trPr>
        <w:tc>
          <w:tcPr>
            <w:tcW w:w="142" w:type="dxa"/>
          </w:tcPr>
          <w:p w14:paraId="2FDD32C6" w14:textId="77777777" w:rsidR="00426980" w:rsidRDefault="00426980">
            <w:pPr>
              <w:widowControl w:val="0"/>
              <w:spacing w:line="276" w:lineRule="auto"/>
              <w:rPr>
                <w:sz w:val="16"/>
                <w:szCs w:val="16"/>
              </w:rPr>
            </w:pPr>
          </w:p>
        </w:tc>
        <w:tc>
          <w:tcPr>
            <w:tcW w:w="4366" w:type="dxa"/>
            <w:gridSpan w:val="3"/>
          </w:tcPr>
          <w:p w14:paraId="53F1A19B" w14:textId="77777777" w:rsidR="00426980" w:rsidRDefault="004F7B96">
            <w:pPr>
              <w:jc w:val="center"/>
              <w:rPr>
                <w:sz w:val="16"/>
                <w:szCs w:val="16"/>
              </w:rPr>
            </w:pPr>
            <w:r>
              <w:rPr>
                <w:noProof/>
                <w:sz w:val="16"/>
                <w:szCs w:val="16"/>
                <w:lang w:val="el-GR" w:eastAsia="el-GR"/>
              </w:rPr>
              <w:drawing>
                <wp:inline distT="0" distB="0" distL="0" distR="0" wp14:anchorId="56F939A2" wp14:editId="6EF2C342">
                  <wp:extent cx="930963" cy="386715"/>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l="9456" r="8192" b="16967"/>
                          <a:stretch>
                            <a:fillRect/>
                          </a:stretch>
                        </pic:blipFill>
                        <pic:spPr>
                          <a:xfrm>
                            <a:off x="0" y="0"/>
                            <a:ext cx="930963" cy="386715"/>
                          </a:xfrm>
                          <a:prstGeom prst="rect">
                            <a:avLst/>
                          </a:prstGeom>
                          <a:ln/>
                        </pic:spPr>
                      </pic:pic>
                    </a:graphicData>
                  </a:graphic>
                </wp:inline>
              </w:drawing>
            </w:r>
          </w:p>
        </w:tc>
        <w:tc>
          <w:tcPr>
            <w:tcW w:w="4508" w:type="dxa"/>
            <w:gridSpan w:val="3"/>
          </w:tcPr>
          <w:p w14:paraId="77D1A2AE" w14:textId="77777777" w:rsidR="00426980" w:rsidRDefault="004F7B96">
            <w:pPr>
              <w:jc w:val="center"/>
              <w:rPr>
                <w:sz w:val="16"/>
                <w:szCs w:val="16"/>
              </w:rPr>
            </w:pPr>
            <w:r>
              <w:rPr>
                <w:noProof/>
                <w:sz w:val="16"/>
                <w:szCs w:val="16"/>
                <w:lang w:val="el-GR" w:eastAsia="el-GR"/>
              </w:rPr>
              <w:drawing>
                <wp:inline distT="0" distB="0" distL="0" distR="0" wp14:anchorId="4B06EEE3" wp14:editId="7239A286">
                  <wp:extent cx="1113416" cy="393444"/>
                  <wp:effectExtent l="0" t="0" r="0" b="0"/>
                  <wp:docPr id="1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a:srcRect b="14548"/>
                          <a:stretch>
                            <a:fillRect/>
                          </a:stretch>
                        </pic:blipFill>
                        <pic:spPr>
                          <a:xfrm>
                            <a:off x="0" y="0"/>
                            <a:ext cx="1113416" cy="393444"/>
                          </a:xfrm>
                          <a:prstGeom prst="rect">
                            <a:avLst/>
                          </a:prstGeom>
                          <a:ln/>
                        </pic:spPr>
                      </pic:pic>
                    </a:graphicData>
                  </a:graphic>
                </wp:inline>
              </w:drawing>
            </w:r>
          </w:p>
        </w:tc>
      </w:tr>
    </w:tbl>
    <w:p w14:paraId="773F5C1F" w14:textId="4822C03B" w:rsidR="00426980" w:rsidRDefault="00426980">
      <w:pPr>
        <w:rPr>
          <w:sz w:val="16"/>
          <w:szCs w:val="16"/>
        </w:rPr>
      </w:pPr>
    </w:p>
    <w:p w14:paraId="0E4283EE" w14:textId="78358068" w:rsidR="00A34C45" w:rsidRDefault="001E6127">
      <w:pPr>
        <w:rPr>
          <w:sz w:val="16"/>
          <w:szCs w:val="16"/>
          <w:lang w:val="el-GR"/>
        </w:rPr>
      </w:pPr>
      <w:r>
        <w:rPr>
          <w:noProof/>
          <w:sz w:val="16"/>
          <w:szCs w:val="16"/>
          <w:lang w:val="el-GR" w:eastAsia="el-GR"/>
        </w:rPr>
        <w:drawing>
          <wp:anchor distT="0" distB="0" distL="114300" distR="114300" simplePos="0" relativeHeight="251657728" behindDoc="1" locked="0" layoutInCell="1" allowOverlap="1" wp14:anchorId="3D1F206D" wp14:editId="281CF015">
            <wp:simplePos x="0" y="0"/>
            <wp:positionH relativeFrom="margin">
              <wp:posOffset>-200025</wp:posOffset>
            </wp:positionH>
            <wp:positionV relativeFrom="margin">
              <wp:posOffset>8351520</wp:posOffset>
            </wp:positionV>
            <wp:extent cx="1742440" cy="48260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2440" cy="482600"/>
                    </a:xfrm>
                    <a:prstGeom prst="rect">
                      <a:avLst/>
                    </a:prstGeom>
                    <a:noFill/>
                  </pic:spPr>
                </pic:pic>
              </a:graphicData>
            </a:graphic>
            <wp14:sizeRelH relativeFrom="page">
              <wp14:pctWidth>0</wp14:pctWidth>
            </wp14:sizeRelH>
            <wp14:sizeRelV relativeFrom="page">
              <wp14:pctHeight>0</wp14:pctHeight>
            </wp14:sizeRelV>
          </wp:anchor>
        </w:drawing>
      </w:r>
      <w:r w:rsidR="000A2839" w:rsidRPr="000A2839">
        <w:rPr>
          <w:sz w:val="16"/>
          <w:szCs w:val="16"/>
          <w:lang w:val="el-GR"/>
        </w:rPr>
        <w:t>Η υποστήριξη της Ευρωπαϊκής Επιτροπής για την παραγωγή της παρούσας έκδοσης, δεν συνιστά αποδοχή του περιεχομένου, το οποίο αντανακλά τις απόψεις μόνον των δημιουργών, και η Ευρωπαϊκή Επιτροπή δεν φέρει ουδεμία ευθύνη για οποιαδήποτε χρήση των πληροφοριών που εμπεριέχονται σε αυτό</w:t>
      </w:r>
      <w:r w:rsidR="004F7B96" w:rsidRPr="000A2839">
        <w:rPr>
          <w:sz w:val="16"/>
          <w:szCs w:val="16"/>
          <w:lang w:val="el-GR"/>
        </w:rPr>
        <w:t xml:space="preserve">. </w:t>
      </w:r>
      <w:r w:rsidR="000A2839">
        <w:rPr>
          <w:sz w:val="16"/>
          <w:szCs w:val="16"/>
          <w:lang w:val="el-GR"/>
        </w:rPr>
        <w:t>Αριθμός προγράμματος</w:t>
      </w:r>
      <w:r w:rsidR="004F7B96" w:rsidRPr="000A2839">
        <w:rPr>
          <w:sz w:val="16"/>
          <w:szCs w:val="16"/>
          <w:lang w:val="el-GR"/>
        </w:rPr>
        <w:t>: 2020-1-</w:t>
      </w:r>
      <w:r w:rsidR="004F7B96">
        <w:rPr>
          <w:sz w:val="16"/>
          <w:szCs w:val="16"/>
        </w:rPr>
        <w:t>DE</w:t>
      </w:r>
      <w:r w:rsidR="004F7B96" w:rsidRPr="000A2839">
        <w:rPr>
          <w:sz w:val="16"/>
          <w:szCs w:val="16"/>
          <w:lang w:val="el-GR"/>
        </w:rPr>
        <w:t>02-</w:t>
      </w:r>
      <w:r w:rsidR="004F7B96">
        <w:rPr>
          <w:sz w:val="16"/>
          <w:szCs w:val="16"/>
        </w:rPr>
        <w:t>KA</w:t>
      </w:r>
      <w:r w:rsidR="004F7B96" w:rsidRPr="000A2839">
        <w:rPr>
          <w:sz w:val="16"/>
          <w:szCs w:val="16"/>
          <w:lang w:val="el-GR"/>
        </w:rPr>
        <w:t>204-007679.</w:t>
      </w:r>
    </w:p>
    <w:p w14:paraId="54BE10CA" w14:textId="3FAE1C7A" w:rsidR="00426980" w:rsidRPr="000A2839" w:rsidRDefault="00426980">
      <w:pPr>
        <w:rPr>
          <w:sz w:val="16"/>
          <w:szCs w:val="16"/>
          <w:lang w:val="el-GR"/>
        </w:rPr>
        <w:sectPr w:rsidR="00426980" w:rsidRPr="000A2839" w:rsidSect="002E630B">
          <w:headerReference w:type="default" r:id="rId17"/>
          <w:footerReference w:type="default" r:id="rId18"/>
          <w:pgSz w:w="11906" w:h="16838"/>
          <w:pgMar w:top="1417" w:right="1417" w:bottom="1134" w:left="1417" w:header="708" w:footer="708" w:gutter="0"/>
          <w:pgNumType w:start="1"/>
          <w:cols w:space="720"/>
          <w:titlePg/>
          <w:docGrid w:linePitch="299"/>
        </w:sectPr>
      </w:pPr>
    </w:p>
    <w:p w14:paraId="1A96F538" w14:textId="77777777" w:rsidR="00426980" w:rsidRPr="000A2839" w:rsidRDefault="00426980">
      <w:pPr>
        <w:rPr>
          <w:sz w:val="24"/>
          <w:szCs w:val="24"/>
          <w:lang w:val="el-GR"/>
        </w:rPr>
      </w:pPr>
    </w:p>
    <w:p w14:paraId="2C4A2509" w14:textId="6E9BA845" w:rsidR="00426980" w:rsidRPr="000A2839" w:rsidRDefault="000A2839">
      <w:pPr>
        <w:spacing w:line="259" w:lineRule="auto"/>
        <w:rPr>
          <w:b/>
          <w:sz w:val="24"/>
          <w:szCs w:val="24"/>
          <w:lang w:val="el-GR"/>
        </w:rPr>
      </w:pPr>
      <w:r>
        <w:rPr>
          <w:sz w:val="24"/>
          <w:szCs w:val="24"/>
          <w:lang w:val="el-GR"/>
        </w:rPr>
        <w:t>Αυτό</w:t>
      </w:r>
      <w:r w:rsidRPr="000A2839">
        <w:rPr>
          <w:sz w:val="24"/>
          <w:szCs w:val="24"/>
          <w:lang w:val="el-GR"/>
        </w:rPr>
        <w:t xml:space="preserve"> </w:t>
      </w:r>
      <w:r>
        <w:rPr>
          <w:sz w:val="24"/>
          <w:szCs w:val="24"/>
          <w:lang w:val="el-GR"/>
        </w:rPr>
        <w:t>το</w:t>
      </w:r>
      <w:r w:rsidRPr="000A2839">
        <w:rPr>
          <w:sz w:val="24"/>
          <w:szCs w:val="24"/>
          <w:lang w:val="el-GR"/>
        </w:rPr>
        <w:t xml:space="preserve"> </w:t>
      </w:r>
      <w:r>
        <w:rPr>
          <w:sz w:val="24"/>
          <w:szCs w:val="24"/>
          <w:lang w:val="el-GR"/>
        </w:rPr>
        <w:t>εγχειρίδιο</w:t>
      </w:r>
      <w:r w:rsidRPr="000A2839">
        <w:rPr>
          <w:sz w:val="24"/>
          <w:szCs w:val="24"/>
          <w:lang w:val="el-GR"/>
        </w:rPr>
        <w:t xml:space="preserve"> </w:t>
      </w:r>
      <w:r>
        <w:rPr>
          <w:sz w:val="24"/>
          <w:szCs w:val="24"/>
          <w:lang w:val="el-GR"/>
        </w:rPr>
        <w:t>για</w:t>
      </w:r>
      <w:r w:rsidRPr="000A2839">
        <w:rPr>
          <w:sz w:val="24"/>
          <w:szCs w:val="24"/>
          <w:lang w:val="el-GR"/>
        </w:rPr>
        <w:t xml:space="preserve"> </w:t>
      </w:r>
      <w:r>
        <w:rPr>
          <w:sz w:val="24"/>
          <w:szCs w:val="24"/>
          <w:lang w:val="el-GR"/>
        </w:rPr>
        <w:t>την</w:t>
      </w:r>
      <w:r w:rsidRPr="000A2839">
        <w:rPr>
          <w:sz w:val="24"/>
          <w:szCs w:val="24"/>
          <w:lang w:val="el-GR"/>
        </w:rPr>
        <w:t xml:space="preserve"> </w:t>
      </w:r>
      <w:r>
        <w:rPr>
          <w:sz w:val="24"/>
          <w:szCs w:val="24"/>
          <w:lang w:val="el-GR"/>
        </w:rPr>
        <w:t>θεματική</w:t>
      </w:r>
      <w:r w:rsidRPr="000A2839">
        <w:rPr>
          <w:sz w:val="24"/>
          <w:szCs w:val="24"/>
          <w:lang w:val="el-GR"/>
        </w:rPr>
        <w:t xml:space="preserve"> </w:t>
      </w:r>
      <w:r>
        <w:rPr>
          <w:sz w:val="24"/>
          <w:szCs w:val="24"/>
          <w:lang w:val="el-GR"/>
        </w:rPr>
        <w:t>ενότητα</w:t>
      </w:r>
      <w:r w:rsidRPr="000A2839">
        <w:rPr>
          <w:sz w:val="24"/>
          <w:szCs w:val="24"/>
          <w:lang w:val="el-GR"/>
        </w:rPr>
        <w:t xml:space="preserve"> 3 </w:t>
      </w:r>
      <w:r>
        <w:rPr>
          <w:sz w:val="24"/>
          <w:szCs w:val="24"/>
          <w:lang w:val="el-GR"/>
        </w:rPr>
        <w:t>αποτελεί</w:t>
      </w:r>
      <w:r w:rsidRPr="000A2839">
        <w:rPr>
          <w:sz w:val="24"/>
          <w:szCs w:val="24"/>
          <w:lang w:val="el-GR"/>
        </w:rPr>
        <w:t xml:space="preserve"> </w:t>
      </w:r>
      <w:r>
        <w:rPr>
          <w:sz w:val="24"/>
          <w:szCs w:val="24"/>
          <w:lang w:val="el-GR"/>
        </w:rPr>
        <w:t>μέρος</w:t>
      </w:r>
      <w:r w:rsidRPr="000A2839">
        <w:rPr>
          <w:sz w:val="24"/>
          <w:szCs w:val="24"/>
          <w:lang w:val="el-GR"/>
        </w:rPr>
        <w:t xml:space="preserve"> </w:t>
      </w:r>
      <w:r>
        <w:rPr>
          <w:sz w:val="24"/>
          <w:szCs w:val="24"/>
          <w:lang w:val="el-GR"/>
        </w:rPr>
        <w:t>του</w:t>
      </w:r>
      <w:r w:rsidRPr="000A2839">
        <w:rPr>
          <w:sz w:val="24"/>
          <w:szCs w:val="24"/>
          <w:lang w:val="el-GR"/>
        </w:rPr>
        <w:t xml:space="preserve"> </w:t>
      </w:r>
      <w:r>
        <w:rPr>
          <w:sz w:val="24"/>
          <w:szCs w:val="24"/>
          <w:lang w:val="el-GR"/>
        </w:rPr>
        <w:t>προγράμματος</w:t>
      </w:r>
      <w:r w:rsidRPr="000A2839">
        <w:rPr>
          <w:sz w:val="24"/>
          <w:szCs w:val="24"/>
          <w:lang w:val="el-GR"/>
        </w:rPr>
        <w:t xml:space="preserve"> </w:t>
      </w:r>
      <w:r w:rsidR="004F7B96">
        <w:rPr>
          <w:sz w:val="24"/>
          <w:szCs w:val="24"/>
        </w:rPr>
        <w:t>MIG</w:t>
      </w:r>
      <w:r w:rsidR="004F7B96" w:rsidRPr="000A2839">
        <w:rPr>
          <w:sz w:val="24"/>
          <w:szCs w:val="24"/>
          <w:lang w:val="el-GR"/>
        </w:rPr>
        <w:t>-</w:t>
      </w:r>
      <w:r w:rsidR="004F7B96">
        <w:rPr>
          <w:sz w:val="24"/>
          <w:szCs w:val="24"/>
        </w:rPr>
        <w:t>DHL</w:t>
      </w:r>
      <w:r w:rsidR="004F7B96" w:rsidRPr="000A2839">
        <w:rPr>
          <w:sz w:val="24"/>
          <w:szCs w:val="24"/>
          <w:lang w:val="el-GR"/>
        </w:rPr>
        <w:t xml:space="preserve"> </w:t>
      </w:r>
      <w:r>
        <w:rPr>
          <w:sz w:val="24"/>
          <w:szCs w:val="24"/>
          <w:lang w:val="el-GR"/>
        </w:rPr>
        <w:t>το</w:t>
      </w:r>
      <w:r w:rsidRPr="000A2839">
        <w:rPr>
          <w:sz w:val="24"/>
          <w:szCs w:val="24"/>
          <w:lang w:val="el-GR"/>
        </w:rPr>
        <w:t xml:space="preserve"> </w:t>
      </w:r>
      <w:r>
        <w:rPr>
          <w:sz w:val="24"/>
          <w:szCs w:val="24"/>
          <w:lang w:val="el-GR"/>
        </w:rPr>
        <w:t>οποίο αποτελείται από 6 εκπαιδευτικές θεματικές ενότητες στο σύνολο, οι οποίες έχουν αναπτυχθεί στ</w:t>
      </w:r>
      <w:r w:rsidR="007455B5">
        <w:rPr>
          <w:sz w:val="24"/>
          <w:szCs w:val="24"/>
          <w:lang w:val="el-GR"/>
        </w:rPr>
        <w:t xml:space="preserve">α πλαίσια της Στρατηγικής Σύμπραξης </w:t>
      </w:r>
      <w:r w:rsidR="004F7B96">
        <w:rPr>
          <w:sz w:val="24"/>
          <w:szCs w:val="24"/>
        </w:rPr>
        <w:t>Erasmus</w:t>
      </w:r>
      <w:r w:rsidR="004F7B96" w:rsidRPr="000A2839">
        <w:rPr>
          <w:sz w:val="24"/>
          <w:szCs w:val="24"/>
          <w:lang w:val="el-GR"/>
        </w:rPr>
        <w:t xml:space="preserve">+ </w:t>
      </w:r>
      <w:r w:rsidR="004F7B96">
        <w:rPr>
          <w:b/>
          <w:sz w:val="24"/>
          <w:szCs w:val="24"/>
        </w:rPr>
        <w:t>MIG</w:t>
      </w:r>
      <w:r w:rsidR="004F7B96" w:rsidRPr="000A2839">
        <w:rPr>
          <w:b/>
          <w:sz w:val="24"/>
          <w:szCs w:val="24"/>
          <w:lang w:val="el-GR"/>
        </w:rPr>
        <w:t>-</w:t>
      </w:r>
      <w:r w:rsidR="004F7B96">
        <w:rPr>
          <w:b/>
          <w:sz w:val="24"/>
          <w:szCs w:val="24"/>
        </w:rPr>
        <w:t>DHL</w:t>
      </w:r>
      <w:r w:rsidR="004F7B96" w:rsidRPr="000A2839">
        <w:rPr>
          <w:b/>
          <w:sz w:val="24"/>
          <w:szCs w:val="24"/>
          <w:lang w:val="el-GR"/>
        </w:rPr>
        <w:t xml:space="preserve">- </w:t>
      </w:r>
      <w:r w:rsidR="004F7B96">
        <w:rPr>
          <w:b/>
          <w:sz w:val="24"/>
          <w:szCs w:val="24"/>
        </w:rPr>
        <w:t>Migrants</w:t>
      </w:r>
      <w:r w:rsidR="004F7B96" w:rsidRPr="000A2839">
        <w:rPr>
          <w:b/>
          <w:sz w:val="24"/>
          <w:szCs w:val="24"/>
          <w:lang w:val="el-GR"/>
        </w:rPr>
        <w:t xml:space="preserve"> </w:t>
      </w:r>
      <w:r w:rsidR="004F7B96">
        <w:rPr>
          <w:b/>
          <w:sz w:val="24"/>
          <w:szCs w:val="24"/>
        </w:rPr>
        <w:t>Digital</w:t>
      </w:r>
      <w:r w:rsidR="004F7B96" w:rsidRPr="000A2839">
        <w:rPr>
          <w:b/>
          <w:sz w:val="24"/>
          <w:szCs w:val="24"/>
          <w:lang w:val="el-GR"/>
        </w:rPr>
        <w:t xml:space="preserve"> </w:t>
      </w:r>
      <w:r w:rsidR="004F7B96">
        <w:rPr>
          <w:b/>
          <w:sz w:val="24"/>
          <w:szCs w:val="24"/>
        </w:rPr>
        <w:t>Health</w:t>
      </w:r>
      <w:r w:rsidR="004F7B96" w:rsidRPr="000A2839">
        <w:rPr>
          <w:b/>
          <w:sz w:val="24"/>
          <w:szCs w:val="24"/>
          <w:lang w:val="el-GR"/>
        </w:rPr>
        <w:t xml:space="preserve"> </w:t>
      </w:r>
      <w:r w:rsidR="004F7B96">
        <w:rPr>
          <w:b/>
          <w:sz w:val="24"/>
          <w:szCs w:val="24"/>
        </w:rPr>
        <w:t>Literacy</w:t>
      </w:r>
      <w:r w:rsidR="004F7B96" w:rsidRPr="000A2839">
        <w:rPr>
          <w:b/>
          <w:sz w:val="24"/>
          <w:szCs w:val="24"/>
          <w:lang w:val="el-GR"/>
        </w:rPr>
        <w:t xml:space="preserve">. </w:t>
      </w:r>
    </w:p>
    <w:p w14:paraId="337B8CE2" w14:textId="3A953EBA" w:rsidR="00426980" w:rsidRPr="007455B5" w:rsidRDefault="007455B5">
      <w:pPr>
        <w:keepNext/>
        <w:keepLines/>
        <w:pBdr>
          <w:bottom w:val="single" w:sz="4" w:space="1" w:color="C00000"/>
        </w:pBdr>
        <w:spacing w:before="280" w:after="480" w:line="259" w:lineRule="auto"/>
        <w:ind w:left="432"/>
        <w:rPr>
          <w:color w:val="2F5496"/>
          <w:sz w:val="32"/>
          <w:szCs w:val="32"/>
          <w:lang w:val="el-GR"/>
        </w:rPr>
      </w:pPr>
      <w:r>
        <w:rPr>
          <w:color w:val="2F5496"/>
          <w:sz w:val="32"/>
          <w:szCs w:val="32"/>
          <w:lang w:val="el-GR"/>
        </w:rPr>
        <w:t>Τα περιεχόμενα του εκπαιδευτικού προγράμματος</w:t>
      </w:r>
      <w:r w:rsidR="004F7B96" w:rsidRPr="007455B5">
        <w:rPr>
          <w:color w:val="2F5496"/>
          <w:sz w:val="32"/>
          <w:szCs w:val="32"/>
          <w:lang w:val="el-GR"/>
        </w:rPr>
        <w:t>:</w:t>
      </w:r>
    </w:p>
    <w:tbl>
      <w:tblPr>
        <w:tblStyle w:val="af1"/>
        <w:tblW w:w="8647" w:type="dxa"/>
        <w:jc w:val="center"/>
        <w:tblBorders>
          <w:top w:val="nil"/>
          <w:left w:val="nil"/>
          <w:bottom w:val="nil"/>
          <w:right w:val="nil"/>
          <w:insideH w:val="nil"/>
          <w:insideV w:val="nil"/>
        </w:tblBorders>
        <w:tblLayout w:type="fixed"/>
        <w:tblLook w:val="0400" w:firstRow="0" w:lastRow="0" w:firstColumn="0" w:lastColumn="0" w:noHBand="0" w:noVBand="1"/>
      </w:tblPr>
      <w:tblGrid>
        <w:gridCol w:w="8647"/>
      </w:tblGrid>
      <w:tr w:rsidR="00426980" w14:paraId="7DB0D8C0" w14:textId="77777777">
        <w:trPr>
          <w:trHeight w:val="609"/>
          <w:jc w:val="center"/>
        </w:trPr>
        <w:tc>
          <w:tcPr>
            <w:tcW w:w="8647" w:type="dxa"/>
            <w:tcBorders>
              <w:bottom w:val="single" w:sz="18" w:space="0" w:color="FFFFFF"/>
            </w:tcBorders>
            <w:shd w:val="clear" w:color="auto" w:fill="auto"/>
            <w:tcMar>
              <w:top w:w="57" w:type="dxa"/>
              <w:bottom w:w="57" w:type="dxa"/>
            </w:tcMar>
            <w:vAlign w:val="center"/>
          </w:tcPr>
          <w:p w14:paraId="25D87FF0" w14:textId="5ABA0355" w:rsidR="00426980" w:rsidRDefault="000A2839" w:rsidP="000A2839">
            <w:pPr>
              <w:rPr>
                <w:b/>
                <w:color w:val="1A1364"/>
                <w:sz w:val="24"/>
                <w:szCs w:val="24"/>
              </w:rPr>
            </w:pPr>
            <w:r>
              <w:rPr>
                <w:b/>
                <w:color w:val="1A1364"/>
                <w:sz w:val="24"/>
                <w:szCs w:val="24"/>
                <w:lang w:val="el-GR"/>
              </w:rPr>
              <w:t xml:space="preserve">Το πρόγραμμα </w:t>
            </w:r>
            <w:r w:rsidR="004F7B96">
              <w:rPr>
                <w:b/>
                <w:color w:val="1A1364"/>
                <w:sz w:val="24"/>
                <w:szCs w:val="24"/>
              </w:rPr>
              <w:t xml:space="preserve">MIG-DHL </w:t>
            </w:r>
          </w:p>
        </w:tc>
      </w:tr>
      <w:tr w:rsidR="00426980" w:rsidRPr="002E630B" w14:paraId="1207C152"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478314B" w14:textId="6C2D6550" w:rsidR="00426980" w:rsidRPr="005805EA" w:rsidRDefault="000A2839" w:rsidP="005805EA">
            <w:pPr>
              <w:spacing w:line="312" w:lineRule="auto"/>
              <w:rPr>
                <w:rFonts w:ascii="Arial" w:eastAsia="Arial" w:hAnsi="Arial" w:cs="Arial"/>
                <w:color w:val="FFFFFF"/>
                <w:lang w:val="el-GR"/>
              </w:rPr>
            </w:pPr>
            <w:r>
              <w:rPr>
                <w:rFonts w:ascii="Arial" w:eastAsia="Arial" w:hAnsi="Arial" w:cs="Arial"/>
                <w:color w:val="FFFFFF"/>
                <w:lang w:val="el-GR"/>
              </w:rPr>
              <w:t>Θεματική</w:t>
            </w:r>
            <w:r w:rsidRPr="005805EA">
              <w:rPr>
                <w:rFonts w:ascii="Arial" w:eastAsia="Arial" w:hAnsi="Arial" w:cs="Arial"/>
                <w:color w:val="FFFFFF"/>
                <w:lang w:val="el-GR"/>
              </w:rPr>
              <w:t xml:space="preserve"> </w:t>
            </w:r>
            <w:r w:rsidR="004F7B96" w:rsidRPr="005805EA">
              <w:rPr>
                <w:rFonts w:ascii="Arial" w:eastAsia="Arial" w:hAnsi="Arial" w:cs="Arial"/>
                <w:color w:val="FFFFFF"/>
                <w:lang w:val="el-GR"/>
              </w:rPr>
              <w:t xml:space="preserve">1: </w:t>
            </w:r>
            <w:r w:rsidR="005805EA" w:rsidRPr="005805EA">
              <w:rPr>
                <w:rFonts w:ascii="Arial" w:eastAsia="Arial" w:hAnsi="Arial" w:cs="Arial"/>
                <w:color w:val="FFFFFF"/>
                <w:lang w:val="el-GR"/>
              </w:rPr>
              <w:t>Τι είναι ο ψηφιακός αλφαβητισμός για την υγεία και  ποια η σημασία του</w:t>
            </w:r>
            <w:r w:rsidR="005805EA">
              <w:rPr>
                <w:rFonts w:ascii="Arial" w:eastAsia="Arial" w:hAnsi="Arial" w:cs="Arial"/>
                <w:color w:val="FFFFFF"/>
                <w:lang w:val="el-GR"/>
              </w:rPr>
              <w:t>;</w:t>
            </w:r>
          </w:p>
        </w:tc>
      </w:tr>
      <w:tr w:rsidR="00426980" w:rsidRPr="002E630B" w14:paraId="0C34F2E2"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4E902DAC" w14:textId="4BA1327D" w:rsidR="00426980" w:rsidRPr="005805EA" w:rsidRDefault="000A2839" w:rsidP="005805EA">
            <w:pPr>
              <w:spacing w:line="312" w:lineRule="auto"/>
              <w:rPr>
                <w:rFonts w:ascii="Arial" w:eastAsia="Arial" w:hAnsi="Arial" w:cs="Arial"/>
                <w:color w:val="FFFFFF"/>
                <w:lang w:val="el-GR"/>
              </w:rPr>
            </w:pPr>
            <w:r>
              <w:rPr>
                <w:rFonts w:ascii="Arial" w:eastAsia="Arial" w:hAnsi="Arial" w:cs="Arial"/>
                <w:color w:val="FFFFFF"/>
                <w:lang w:val="el-GR"/>
              </w:rPr>
              <w:t>Θεματική</w:t>
            </w:r>
            <w:r w:rsidRPr="005805EA">
              <w:rPr>
                <w:rFonts w:ascii="Arial" w:eastAsia="Arial" w:hAnsi="Arial" w:cs="Arial"/>
                <w:color w:val="FFFFFF"/>
                <w:lang w:val="el-GR"/>
              </w:rPr>
              <w:t xml:space="preserve"> </w:t>
            </w:r>
            <w:r w:rsidR="004F7B96" w:rsidRPr="005805EA">
              <w:rPr>
                <w:rFonts w:ascii="Arial" w:eastAsia="Arial" w:hAnsi="Arial" w:cs="Arial"/>
                <w:color w:val="FFFFFF"/>
                <w:lang w:val="el-GR"/>
              </w:rPr>
              <w:t xml:space="preserve">2: </w:t>
            </w:r>
            <w:r w:rsidR="005805EA" w:rsidRPr="005805EA">
              <w:rPr>
                <w:rFonts w:ascii="Arial" w:eastAsia="Arial" w:hAnsi="Arial" w:cs="Arial"/>
                <w:color w:val="FFFFFF"/>
                <w:lang w:val="el-GR"/>
              </w:rPr>
              <w:t>Κύρια προβλήματα υγείας κατά την άφιξη σε μια νέα χώρα</w:t>
            </w:r>
          </w:p>
        </w:tc>
      </w:tr>
      <w:tr w:rsidR="00426980" w14:paraId="1FC40372"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665681F2" w14:textId="1A27528C" w:rsidR="00426980" w:rsidRPr="005805EA" w:rsidRDefault="000A2839" w:rsidP="005805EA">
            <w:pPr>
              <w:spacing w:line="312" w:lineRule="auto"/>
              <w:rPr>
                <w:rFonts w:ascii="Arial" w:eastAsia="Arial" w:hAnsi="Arial" w:cs="Arial"/>
                <w:b/>
                <w:lang w:val="el-GR"/>
              </w:rPr>
            </w:pPr>
            <w:r>
              <w:rPr>
                <w:rFonts w:ascii="Arial" w:eastAsia="Arial" w:hAnsi="Arial" w:cs="Arial"/>
                <w:b/>
                <w:lang w:val="el-GR"/>
              </w:rPr>
              <w:t xml:space="preserve">Θεματική </w:t>
            </w:r>
            <w:r w:rsidR="004F7B96">
              <w:rPr>
                <w:rFonts w:ascii="Arial" w:eastAsia="Arial" w:hAnsi="Arial" w:cs="Arial"/>
                <w:b/>
              </w:rPr>
              <w:t xml:space="preserve">3: </w:t>
            </w:r>
            <w:r w:rsidR="005805EA">
              <w:rPr>
                <w:rFonts w:ascii="Arial" w:eastAsia="Arial" w:hAnsi="Arial" w:cs="Arial"/>
                <w:b/>
                <w:lang w:val="el-GR"/>
              </w:rPr>
              <w:t>Υπηρεσίες Υγειονομικής Περίθαλψης</w:t>
            </w:r>
          </w:p>
        </w:tc>
      </w:tr>
      <w:tr w:rsidR="00426980" w14:paraId="49BBE6BA"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DC500C9" w14:textId="270AEDCB" w:rsidR="00426980" w:rsidRDefault="000A2839" w:rsidP="005805EA">
            <w:pPr>
              <w:spacing w:line="312" w:lineRule="auto"/>
              <w:rPr>
                <w:rFonts w:ascii="Arial" w:eastAsia="Arial" w:hAnsi="Arial" w:cs="Arial"/>
              </w:rPr>
            </w:pPr>
            <w:r>
              <w:rPr>
                <w:rFonts w:ascii="Arial" w:eastAsia="Arial" w:hAnsi="Arial" w:cs="Arial"/>
                <w:color w:val="FFFFFF"/>
                <w:lang w:val="el-GR"/>
              </w:rPr>
              <w:t>Θεματική</w:t>
            </w:r>
            <w:r w:rsidRPr="000A2839">
              <w:rPr>
                <w:rFonts w:ascii="Arial" w:eastAsia="Arial" w:hAnsi="Arial" w:cs="Arial"/>
                <w:color w:val="FFFFFF"/>
                <w:lang w:val="en-US"/>
              </w:rPr>
              <w:t xml:space="preserve"> </w:t>
            </w:r>
            <w:r w:rsidR="004F7B96">
              <w:rPr>
                <w:rFonts w:ascii="Arial" w:eastAsia="Arial" w:hAnsi="Arial" w:cs="Arial"/>
                <w:color w:val="FFFFFF"/>
              </w:rPr>
              <w:t xml:space="preserve">4: </w:t>
            </w:r>
            <w:proofErr w:type="spellStart"/>
            <w:r w:rsidR="005805EA" w:rsidRPr="005805EA">
              <w:rPr>
                <w:rFonts w:ascii="Arial" w:eastAsia="Arial" w:hAnsi="Arial" w:cs="Arial"/>
                <w:color w:val="FFFFFF"/>
              </w:rPr>
              <w:t>Γίνομ</w:t>
            </w:r>
            <w:proofErr w:type="spellEnd"/>
            <w:r w:rsidR="005805EA" w:rsidRPr="005805EA">
              <w:rPr>
                <w:rFonts w:ascii="Arial" w:eastAsia="Arial" w:hAnsi="Arial" w:cs="Arial"/>
                <w:color w:val="FFFFFF"/>
              </w:rPr>
              <w:t xml:space="preserve">αι </w:t>
            </w:r>
            <w:proofErr w:type="spellStart"/>
            <w:r w:rsidR="005805EA" w:rsidRPr="005805EA">
              <w:rPr>
                <w:rFonts w:ascii="Arial" w:eastAsia="Arial" w:hAnsi="Arial" w:cs="Arial"/>
                <w:color w:val="FFFFFF"/>
              </w:rPr>
              <w:t>ψηφι</w:t>
            </w:r>
            <w:proofErr w:type="spellEnd"/>
            <w:r w:rsidR="005805EA" w:rsidRPr="005805EA">
              <w:rPr>
                <w:rFonts w:ascii="Arial" w:eastAsia="Arial" w:hAnsi="Arial" w:cs="Arial"/>
                <w:color w:val="FFFFFF"/>
              </w:rPr>
              <w:t xml:space="preserve">ακά </w:t>
            </w:r>
            <w:proofErr w:type="spellStart"/>
            <w:r w:rsidR="005805EA" w:rsidRPr="005805EA">
              <w:rPr>
                <w:rFonts w:ascii="Arial" w:eastAsia="Arial" w:hAnsi="Arial" w:cs="Arial"/>
                <w:color w:val="FFFFFF"/>
              </w:rPr>
              <w:t>εγγράμμ</w:t>
            </w:r>
            <w:proofErr w:type="spellEnd"/>
            <w:r w:rsidR="005805EA" w:rsidRPr="005805EA">
              <w:rPr>
                <w:rFonts w:ascii="Arial" w:eastAsia="Arial" w:hAnsi="Arial" w:cs="Arial"/>
                <w:color w:val="FFFFFF"/>
              </w:rPr>
              <w:t>ατος</w:t>
            </w:r>
          </w:p>
        </w:tc>
      </w:tr>
      <w:tr w:rsidR="00426980" w:rsidRPr="002E630B" w14:paraId="3AB94412"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488F40E4" w14:textId="2046F8F4" w:rsidR="00426980" w:rsidRPr="005805EA" w:rsidRDefault="000A2839" w:rsidP="005805EA">
            <w:pPr>
              <w:spacing w:line="312" w:lineRule="auto"/>
              <w:rPr>
                <w:rFonts w:ascii="Arial" w:eastAsia="Arial" w:hAnsi="Arial" w:cs="Arial"/>
                <w:b/>
                <w:color w:val="FFFFFF"/>
                <w:lang w:val="el-GR"/>
              </w:rPr>
            </w:pPr>
            <w:r w:rsidRPr="005805EA">
              <w:rPr>
                <w:rFonts w:ascii="Arial" w:eastAsia="Arial" w:hAnsi="Arial" w:cs="Arial"/>
                <w:color w:val="FFFFFF"/>
                <w:lang w:val="el-GR"/>
              </w:rPr>
              <w:t xml:space="preserve">Θεματική </w:t>
            </w:r>
            <w:r w:rsidR="004F7B96" w:rsidRPr="005805EA">
              <w:rPr>
                <w:rFonts w:ascii="Arial" w:eastAsia="Arial" w:hAnsi="Arial" w:cs="Arial"/>
                <w:color w:val="FFFFFF"/>
                <w:lang w:val="el-GR"/>
              </w:rPr>
              <w:t xml:space="preserve">5: </w:t>
            </w:r>
            <w:r w:rsidR="005805EA" w:rsidRPr="005805EA">
              <w:rPr>
                <w:rFonts w:ascii="Arial" w:eastAsia="Arial" w:hAnsi="Arial" w:cs="Arial"/>
                <w:color w:val="FFFFFF"/>
                <w:lang w:val="el-GR"/>
              </w:rPr>
              <w:t>Πλοήγηση στο Εθνικό Σύστημα Υγείας μέσω του Διαδικτύου</w:t>
            </w:r>
          </w:p>
        </w:tc>
      </w:tr>
      <w:tr w:rsidR="00426980" w:rsidRPr="002E630B" w14:paraId="595F6702"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707526D3" w14:textId="5E96E9C4" w:rsidR="00426980" w:rsidRPr="005805EA" w:rsidRDefault="000A2839" w:rsidP="005805EA">
            <w:pPr>
              <w:spacing w:line="312" w:lineRule="auto"/>
              <w:rPr>
                <w:rFonts w:ascii="Arial" w:eastAsia="Arial" w:hAnsi="Arial" w:cs="Arial"/>
                <w:color w:val="FFFFFF"/>
                <w:lang w:val="el-GR"/>
              </w:rPr>
            </w:pPr>
            <w:r>
              <w:rPr>
                <w:rFonts w:ascii="Arial" w:eastAsia="Arial" w:hAnsi="Arial" w:cs="Arial"/>
                <w:color w:val="FFFFFF"/>
                <w:lang w:val="el-GR"/>
              </w:rPr>
              <w:t>Θεματική</w:t>
            </w:r>
            <w:r w:rsidRPr="005805EA">
              <w:rPr>
                <w:rFonts w:ascii="Arial" w:eastAsia="Arial" w:hAnsi="Arial" w:cs="Arial"/>
                <w:color w:val="FFFFFF"/>
                <w:lang w:val="el-GR"/>
              </w:rPr>
              <w:t xml:space="preserve"> </w:t>
            </w:r>
            <w:r w:rsidR="004F7B96" w:rsidRPr="005805EA">
              <w:rPr>
                <w:rFonts w:ascii="Arial" w:eastAsia="Arial" w:hAnsi="Arial" w:cs="Arial"/>
                <w:color w:val="FFFFFF"/>
                <w:lang w:val="el-GR"/>
              </w:rPr>
              <w:t xml:space="preserve">6: </w:t>
            </w:r>
            <w:r w:rsidR="005805EA" w:rsidRPr="005805EA">
              <w:rPr>
                <w:rFonts w:ascii="Arial" w:eastAsia="Arial" w:hAnsi="Arial" w:cs="Arial"/>
                <w:color w:val="FFFFFF"/>
                <w:lang w:val="el-GR"/>
              </w:rPr>
              <w:t>Δραστηριότητα στο ψηφιακό περιβάλλον υγείας</w:t>
            </w:r>
          </w:p>
        </w:tc>
      </w:tr>
    </w:tbl>
    <w:p w14:paraId="3BFFA965" w14:textId="71140FBD" w:rsidR="00426980" w:rsidRPr="000A2839" w:rsidRDefault="000A2839">
      <w:pPr>
        <w:rPr>
          <w:sz w:val="24"/>
          <w:szCs w:val="24"/>
          <w:lang w:val="el-GR"/>
        </w:rPr>
      </w:pPr>
      <w:r>
        <w:rPr>
          <w:sz w:val="24"/>
          <w:szCs w:val="24"/>
          <w:lang w:val="el-GR"/>
        </w:rPr>
        <w:t>Μπορείτε να βρείτε περισσότερες πληροφορίες στο</w:t>
      </w:r>
      <w:r w:rsidR="004F7B96" w:rsidRPr="000A2839">
        <w:rPr>
          <w:sz w:val="24"/>
          <w:szCs w:val="24"/>
          <w:lang w:val="el-GR"/>
        </w:rPr>
        <w:t>:</w:t>
      </w:r>
      <w:r w:rsidR="004F7B96" w:rsidRPr="000A2839">
        <w:rPr>
          <w:color w:val="2E75B5"/>
          <w:sz w:val="24"/>
          <w:szCs w:val="24"/>
          <w:lang w:val="el-GR"/>
        </w:rPr>
        <w:t xml:space="preserve"> </w:t>
      </w:r>
      <w:r w:rsidR="004F7B96" w:rsidRPr="000A2839">
        <w:rPr>
          <w:sz w:val="24"/>
          <w:szCs w:val="24"/>
          <w:lang w:val="el-GR"/>
        </w:rPr>
        <w:t xml:space="preserve"> </w:t>
      </w:r>
      <w:hyperlink r:id="rId19">
        <w:r w:rsidR="004F7B96">
          <w:rPr>
            <w:color w:val="0563C1"/>
            <w:sz w:val="24"/>
            <w:szCs w:val="24"/>
            <w:u w:val="single"/>
          </w:rPr>
          <w:t>https</w:t>
        </w:r>
        <w:r w:rsidR="004F7B96" w:rsidRPr="000A2839">
          <w:rPr>
            <w:color w:val="0563C1"/>
            <w:sz w:val="24"/>
            <w:szCs w:val="24"/>
            <w:u w:val="single"/>
            <w:lang w:val="el-GR"/>
          </w:rPr>
          <w:t>://</w:t>
        </w:r>
        <w:proofErr w:type="spellStart"/>
        <w:r w:rsidR="004F7B96">
          <w:rPr>
            <w:color w:val="0563C1"/>
            <w:sz w:val="24"/>
            <w:szCs w:val="24"/>
            <w:u w:val="single"/>
          </w:rPr>
          <w:t>mig</w:t>
        </w:r>
        <w:proofErr w:type="spellEnd"/>
        <w:r w:rsidR="004F7B96" w:rsidRPr="000A2839">
          <w:rPr>
            <w:color w:val="0563C1"/>
            <w:sz w:val="24"/>
            <w:szCs w:val="24"/>
            <w:u w:val="single"/>
            <w:lang w:val="el-GR"/>
          </w:rPr>
          <w:t>-</w:t>
        </w:r>
        <w:proofErr w:type="spellStart"/>
        <w:r w:rsidR="004F7B96">
          <w:rPr>
            <w:color w:val="0563C1"/>
            <w:sz w:val="24"/>
            <w:szCs w:val="24"/>
            <w:u w:val="single"/>
          </w:rPr>
          <w:t>dhl</w:t>
        </w:r>
        <w:proofErr w:type="spellEnd"/>
        <w:r w:rsidR="004F7B96" w:rsidRPr="000A2839">
          <w:rPr>
            <w:color w:val="0563C1"/>
            <w:sz w:val="24"/>
            <w:szCs w:val="24"/>
            <w:u w:val="single"/>
            <w:lang w:val="el-GR"/>
          </w:rPr>
          <w:t>.</w:t>
        </w:r>
        <w:proofErr w:type="spellStart"/>
        <w:r w:rsidR="004F7B96">
          <w:rPr>
            <w:color w:val="0563C1"/>
            <w:sz w:val="24"/>
            <w:szCs w:val="24"/>
            <w:u w:val="single"/>
          </w:rPr>
          <w:t>eu</w:t>
        </w:r>
        <w:proofErr w:type="spellEnd"/>
        <w:r w:rsidR="004F7B96" w:rsidRPr="000A2839">
          <w:rPr>
            <w:color w:val="0563C1"/>
            <w:sz w:val="24"/>
            <w:szCs w:val="24"/>
            <w:u w:val="single"/>
            <w:lang w:val="el-GR"/>
          </w:rPr>
          <w:t>/</w:t>
        </w:r>
      </w:hyperlink>
      <w:r w:rsidR="004F7B96" w:rsidRPr="000A2839">
        <w:rPr>
          <w:sz w:val="24"/>
          <w:szCs w:val="24"/>
          <w:lang w:val="el-GR"/>
        </w:rPr>
        <w:t xml:space="preserve"> </w:t>
      </w:r>
    </w:p>
    <w:p w14:paraId="5A125039" w14:textId="77777777" w:rsidR="00426980" w:rsidRPr="000A2839" w:rsidRDefault="004F7B96">
      <w:pPr>
        <w:rPr>
          <w:sz w:val="24"/>
          <w:szCs w:val="24"/>
          <w:lang w:val="el-GR"/>
        </w:rPr>
      </w:pPr>
      <w:r w:rsidRPr="000A2839">
        <w:rPr>
          <w:lang w:val="el-GR"/>
        </w:rPr>
        <w:br w:type="page"/>
      </w:r>
    </w:p>
    <w:p w14:paraId="0B9C6DF5" w14:textId="77777777" w:rsidR="00426980" w:rsidRPr="000A2839" w:rsidRDefault="00426980">
      <w:pPr>
        <w:jc w:val="center"/>
        <w:rPr>
          <w:sz w:val="24"/>
          <w:szCs w:val="24"/>
          <w:lang w:val="el-GR"/>
        </w:rPr>
      </w:pPr>
    </w:p>
    <w:p w14:paraId="0B32FBEA" w14:textId="7A5B4ECB" w:rsidR="00426980" w:rsidRDefault="005C4F06">
      <w:pPr>
        <w:jc w:val="center"/>
        <w:rPr>
          <w:b/>
          <w:color w:val="002060"/>
          <w:sz w:val="24"/>
          <w:szCs w:val="24"/>
        </w:rPr>
      </w:pPr>
      <w:r>
        <w:rPr>
          <w:b/>
          <w:color w:val="002060"/>
          <w:sz w:val="24"/>
          <w:szCs w:val="24"/>
          <w:lang w:val="el-GR"/>
        </w:rPr>
        <w:t>Δ</w:t>
      </w:r>
      <w:proofErr w:type="spellStart"/>
      <w:r w:rsidRPr="005C4F06">
        <w:rPr>
          <w:b/>
          <w:color w:val="002060"/>
          <w:sz w:val="24"/>
          <w:szCs w:val="24"/>
        </w:rPr>
        <w:t>ήλωση</w:t>
      </w:r>
      <w:proofErr w:type="spellEnd"/>
      <w:r w:rsidRPr="005C4F06">
        <w:rPr>
          <w:b/>
          <w:color w:val="002060"/>
          <w:sz w:val="24"/>
          <w:szCs w:val="24"/>
        </w:rPr>
        <w:t xml:space="preserve"> π</w:t>
      </w:r>
      <w:proofErr w:type="spellStart"/>
      <w:r w:rsidRPr="005C4F06">
        <w:rPr>
          <w:b/>
          <w:color w:val="002060"/>
          <w:sz w:val="24"/>
          <w:szCs w:val="24"/>
        </w:rPr>
        <w:t>ερί</w:t>
      </w:r>
      <w:proofErr w:type="spellEnd"/>
      <w:r w:rsidRPr="005C4F06">
        <w:rPr>
          <w:b/>
          <w:color w:val="002060"/>
          <w:sz w:val="24"/>
          <w:szCs w:val="24"/>
        </w:rPr>
        <w:t xml:space="preserve"> π</w:t>
      </w:r>
      <w:proofErr w:type="spellStart"/>
      <w:r w:rsidRPr="005C4F06">
        <w:rPr>
          <w:b/>
          <w:color w:val="002060"/>
          <w:sz w:val="24"/>
          <w:szCs w:val="24"/>
        </w:rPr>
        <w:t>νευμ</w:t>
      </w:r>
      <w:proofErr w:type="spellEnd"/>
      <w:r w:rsidRPr="005C4F06">
        <w:rPr>
          <w:b/>
          <w:color w:val="002060"/>
          <w:sz w:val="24"/>
          <w:szCs w:val="24"/>
        </w:rPr>
        <w:t xml:space="preserve">ατικών </w:t>
      </w:r>
      <w:proofErr w:type="spellStart"/>
      <w:r w:rsidRPr="005C4F06">
        <w:rPr>
          <w:b/>
          <w:color w:val="002060"/>
          <w:sz w:val="24"/>
          <w:szCs w:val="24"/>
        </w:rPr>
        <w:t>δικ</w:t>
      </w:r>
      <w:proofErr w:type="spellEnd"/>
      <w:r w:rsidRPr="005C4F06">
        <w:rPr>
          <w:b/>
          <w:color w:val="002060"/>
          <w:sz w:val="24"/>
          <w:szCs w:val="24"/>
        </w:rPr>
        <w:t>αιωμάτων</w:t>
      </w:r>
      <w:r w:rsidR="004F7B96">
        <w:rPr>
          <w:b/>
          <w:color w:val="002060"/>
          <w:sz w:val="24"/>
          <w:szCs w:val="24"/>
        </w:rPr>
        <w:t>:</w:t>
      </w:r>
    </w:p>
    <w:p w14:paraId="3DF7046B" w14:textId="77777777" w:rsidR="00426980" w:rsidRDefault="004F7B96">
      <w:pPr>
        <w:jc w:val="center"/>
        <w:rPr>
          <w:b/>
          <w:color w:val="002060"/>
          <w:sz w:val="24"/>
          <w:szCs w:val="24"/>
        </w:rPr>
      </w:pPr>
      <w:r>
        <w:rPr>
          <w:b/>
          <w:noProof/>
          <w:color w:val="002060"/>
          <w:sz w:val="24"/>
          <w:szCs w:val="24"/>
          <w:lang w:val="el-GR" w:eastAsia="el-GR"/>
        </w:rPr>
        <w:drawing>
          <wp:inline distT="0" distB="0" distL="0" distR="0" wp14:anchorId="14DA2893" wp14:editId="10534295">
            <wp:extent cx="1406013" cy="492105"/>
            <wp:effectExtent l="0" t="0" r="0" b="0"/>
            <wp:docPr id="10" name="image10.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10.png" descr="Εικόνα που περιέχει κείμενο, clipart&#10;&#10;Περιγραφή που δημιουργήθηκε αυτόματα"/>
                    <pic:cNvPicPr preferRelativeResize="0"/>
                  </pic:nvPicPr>
                  <pic:blipFill>
                    <a:blip r:embed="rId20"/>
                    <a:srcRect/>
                    <a:stretch>
                      <a:fillRect/>
                    </a:stretch>
                  </pic:blipFill>
                  <pic:spPr>
                    <a:xfrm>
                      <a:off x="0" y="0"/>
                      <a:ext cx="1406013" cy="492105"/>
                    </a:xfrm>
                    <a:prstGeom prst="rect">
                      <a:avLst/>
                    </a:prstGeom>
                    <a:ln/>
                  </pic:spPr>
                </pic:pic>
              </a:graphicData>
            </a:graphic>
          </wp:inline>
        </w:drawing>
      </w:r>
    </w:p>
    <w:p w14:paraId="4871507E" w14:textId="1AF9EE65" w:rsidR="00426980" w:rsidRDefault="004F7B96">
      <w:pPr>
        <w:jc w:val="center"/>
        <w:rPr>
          <w:sz w:val="24"/>
          <w:szCs w:val="24"/>
        </w:rPr>
      </w:pPr>
      <w:r>
        <w:rPr>
          <w:sz w:val="24"/>
          <w:szCs w:val="24"/>
        </w:rPr>
        <w:br/>
      </w:r>
      <w:r w:rsidR="007455B5">
        <w:rPr>
          <w:sz w:val="24"/>
          <w:szCs w:val="24"/>
          <w:lang w:val="el-GR"/>
        </w:rPr>
        <w:t>Το</w:t>
      </w:r>
      <w:r w:rsidR="007455B5" w:rsidRPr="007455B5">
        <w:rPr>
          <w:sz w:val="24"/>
          <w:szCs w:val="24"/>
          <w:lang w:val="en-US"/>
        </w:rPr>
        <w:t xml:space="preserve"> </w:t>
      </w:r>
      <w:r w:rsidR="007455B5">
        <w:rPr>
          <w:sz w:val="24"/>
          <w:szCs w:val="24"/>
          <w:lang w:val="el-GR"/>
        </w:rPr>
        <w:t>έργο</w:t>
      </w:r>
      <w:r w:rsidR="007455B5" w:rsidRPr="007455B5">
        <w:rPr>
          <w:sz w:val="24"/>
          <w:szCs w:val="24"/>
          <w:lang w:val="en-US"/>
        </w:rPr>
        <w:t xml:space="preserve"> </w:t>
      </w:r>
      <w:r w:rsidR="007455B5">
        <w:rPr>
          <w:sz w:val="24"/>
          <w:szCs w:val="24"/>
          <w:lang w:val="el-GR"/>
        </w:rPr>
        <w:t>αυτό</w:t>
      </w:r>
      <w:r w:rsidR="007455B5" w:rsidRPr="007455B5">
        <w:rPr>
          <w:sz w:val="24"/>
          <w:szCs w:val="24"/>
          <w:lang w:val="en-US"/>
        </w:rPr>
        <w:t xml:space="preserve"> </w:t>
      </w:r>
      <w:r w:rsidR="007455B5">
        <w:rPr>
          <w:sz w:val="24"/>
          <w:szCs w:val="24"/>
          <w:lang w:val="el-GR"/>
        </w:rPr>
        <w:t>έχει</w:t>
      </w:r>
      <w:r w:rsidR="007455B5" w:rsidRPr="007455B5">
        <w:rPr>
          <w:sz w:val="24"/>
          <w:szCs w:val="24"/>
          <w:lang w:val="en-US"/>
        </w:rPr>
        <w:t xml:space="preserve"> </w:t>
      </w:r>
      <w:proofErr w:type="spellStart"/>
      <w:r w:rsidR="007455B5">
        <w:rPr>
          <w:sz w:val="24"/>
          <w:szCs w:val="24"/>
          <w:lang w:val="el-GR"/>
        </w:rPr>
        <w:t>αδειοδοτηθεί</w:t>
      </w:r>
      <w:proofErr w:type="spellEnd"/>
      <w:r w:rsidR="007455B5" w:rsidRPr="007455B5">
        <w:rPr>
          <w:sz w:val="24"/>
          <w:szCs w:val="24"/>
          <w:lang w:val="en-US"/>
        </w:rPr>
        <w:t xml:space="preserve"> </w:t>
      </w:r>
      <w:r w:rsidR="007455B5">
        <w:rPr>
          <w:sz w:val="24"/>
          <w:szCs w:val="24"/>
          <w:lang w:val="el-GR"/>
        </w:rPr>
        <w:t>από</w:t>
      </w:r>
      <w:r w:rsidR="007455B5" w:rsidRPr="007455B5">
        <w:rPr>
          <w:sz w:val="24"/>
          <w:szCs w:val="24"/>
          <w:lang w:val="en-US"/>
        </w:rPr>
        <w:t xml:space="preserve"> </w:t>
      </w:r>
      <w:r w:rsidR="007455B5">
        <w:rPr>
          <w:sz w:val="24"/>
          <w:szCs w:val="24"/>
          <w:lang w:val="el-GR"/>
        </w:rPr>
        <w:t>την</w:t>
      </w:r>
      <w:r>
        <w:rPr>
          <w:sz w:val="24"/>
          <w:szCs w:val="24"/>
        </w:rPr>
        <w:t xml:space="preserve"> Creative Commons Attribution-</w:t>
      </w:r>
      <w:proofErr w:type="spellStart"/>
      <w:r>
        <w:rPr>
          <w:sz w:val="24"/>
          <w:szCs w:val="24"/>
        </w:rPr>
        <w:t>NonCommercial</w:t>
      </w:r>
      <w:proofErr w:type="spellEnd"/>
      <w:r>
        <w:rPr>
          <w:sz w:val="24"/>
          <w:szCs w:val="24"/>
        </w:rPr>
        <w:t>-</w:t>
      </w:r>
      <w:proofErr w:type="spellStart"/>
      <w:r>
        <w:rPr>
          <w:sz w:val="24"/>
          <w:szCs w:val="24"/>
        </w:rPr>
        <w:t>ShareAlike</w:t>
      </w:r>
      <w:proofErr w:type="spellEnd"/>
      <w:r>
        <w:rPr>
          <w:sz w:val="24"/>
          <w:szCs w:val="24"/>
        </w:rPr>
        <w:t xml:space="preserve"> 4.0 </w:t>
      </w:r>
      <w:r w:rsidR="007455B5">
        <w:rPr>
          <w:sz w:val="24"/>
          <w:szCs w:val="24"/>
          <w:lang w:val="el-GR"/>
        </w:rPr>
        <w:t>Διεθνή</w:t>
      </w:r>
      <w:r w:rsidR="007455B5">
        <w:rPr>
          <w:sz w:val="24"/>
          <w:szCs w:val="24"/>
          <w:lang w:val="en-US"/>
        </w:rPr>
        <w:t xml:space="preserve"> </w:t>
      </w:r>
      <w:r w:rsidR="007455B5">
        <w:rPr>
          <w:sz w:val="24"/>
          <w:szCs w:val="24"/>
          <w:lang w:val="el-GR"/>
        </w:rPr>
        <w:t>Άδεια</w:t>
      </w:r>
      <w:r>
        <w:rPr>
          <w:sz w:val="24"/>
          <w:szCs w:val="24"/>
        </w:rPr>
        <w:t xml:space="preserve">. </w:t>
      </w:r>
      <w:r w:rsidR="007455B5">
        <w:rPr>
          <w:sz w:val="24"/>
          <w:szCs w:val="24"/>
          <w:lang w:val="el-GR"/>
        </w:rPr>
        <w:t>Είστε</w:t>
      </w:r>
      <w:r w:rsidR="007455B5" w:rsidRPr="007455B5">
        <w:rPr>
          <w:sz w:val="24"/>
          <w:szCs w:val="24"/>
        </w:rPr>
        <w:t xml:space="preserve"> </w:t>
      </w:r>
      <w:r w:rsidR="007455B5">
        <w:rPr>
          <w:sz w:val="24"/>
          <w:szCs w:val="24"/>
          <w:lang w:val="el-GR"/>
        </w:rPr>
        <w:t>ελεύθεροι</w:t>
      </w:r>
      <w:r w:rsidR="007455B5" w:rsidRPr="007455B5">
        <w:rPr>
          <w:sz w:val="24"/>
          <w:szCs w:val="24"/>
        </w:rPr>
        <w:t xml:space="preserve"> </w:t>
      </w:r>
      <w:r w:rsidR="007455B5">
        <w:rPr>
          <w:sz w:val="24"/>
          <w:szCs w:val="24"/>
          <w:lang w:val="el-GR"/>
        </w:rPr>
        <w:t>να</w:t>
      </w:r>
      <w:r>
        <w:rPr>
          <w:sz w:val="24"/>
          <w:szCs w:val="24"/>
        </w:rPr>
        <w:t>:</w:t>
      </w:r>
    </w:p>
    <w:p w14:paraId="3E29C086" w14:textId="33634BC9" w:rsidR="00426980" w:rsidRPr="007455B5" w:rsidRDefault="007455B5">
      <w:pPr>
        <w:numPr>
          <w:ilvl w:val="0"/>
          <w:numId w:val="4"/>
        </w:numPr>
        <w:spacing w:before="280" w:after="0" w:line="312" w:lineRule="auto"/>
        <w:rPr>
          <w:color w:val="000000"/>
          <w:sz w:val="24"/>
          <w:szCs w:val="24"/>
          <w:lang w:val="el-GR"/>
        </w:rPr>
      </w:pPr>
      <w:r>
        <w:rPr>
          <w:sz w:val="24"/>
          <w:szCs w:val="24"/>
          <w:lang w:val="el-GR"/>
        </w:rPr>
        <w:t>διαμοιραστείτε</w:t>
      </w:r>
      <w:r w:rsidR="004F7B96" w:rsidRPr="007455B5">
        <w:rPr>
          <w:sz w:val="24"/>
          <w:szCs w:val="24"/>
          <w:lang w:val="el-GR"/>
        </w:rPr>
        <w:t xml:space="preserve"> — </w:t>
      </w:r>
      <w:r>
        <w:rPr>
          <w:sz w:val="24"/>
          <w:szCs w:val="24"/>
          <w:lang w:val="el-GR"/>
        </w:rPr>
        <w:t>αντιγράψετε</w:t>
      </w:r>
      <w:r w:rsidRPr="007455B5">
        <w:rPr>
          <w:sz w:val="24"/>
          <w:szCs w:val="24"/>
          <w:lang w:val="el-GR"/>
        </w:rPr>
        <w:t xml:space="preserve"> </w:t>
      </w:r>
      <w:r>
        <w:rPr>
          <w:sz w:val="24"/>
          <w:szCs w:val="24"/>
          <w:lang w:val="el-GR"/>
        </w:rPr>
        <w:t>και</w:t>
      </w:r>
      <w:r w:rsidRPr="007455B5">
        <w:rPr>
          <w:sz w:val="24"/>
          <w:szCs w:val="24"/>
          <w:lang w:val="el-GR"/>
        </w:rPr>
        <w:t xml:space="preserve"> </w:t>
      </w:r>
      <w:r>
        <w:rPr>
          <w:sz w:val="24"/>
          <w:szCs w:val="24"/>
          <w:lang w:val="el-GR"/>
        </w:rPr>
        <w:t>αναδιανέμετε</w:t>
      </w:r>
      <w:r w:rsidRPr="007455B5">
        <w:rPr>
          <w:sz w:val="24"/>
          <w:szCs w:val="24"/>
          <w:lang w:val="el-GR"/>
        </w:rPr>
        <w:t xml:space="preserve"> </w:t>
      </w:r>
      <w:r>
        <w:rPr>
          <w:sz w:val="24"/>
          <w:szCs w:val="24"/>
          <w:lang w:val="el-GR"/>
        </w:rPr>
        <w:t>το</w:t>
      </w:r>
      <w:r w:rsidRPr="007455B5">
        <w:rPr>
          <w:sz w:val="24"/>
          <w:szCs w:val="24"/>
          <w:lang w:val="el-GR"/>
        </w:rPr>
        <w:t xml:space="preserve"> </w:t>
      </w:r>
      <w:r>
        <w:rPr>
          <w:sz w:val="24"/>
          <w:szCs w:val="24"/>
          <w:lang w:val="el-GR"/>
        </w:rPr>
        <w:t>υλικό</w:t>
      </w:r>
      <w:r w:rsidR="004F7B96" w:rsidRPr="007455B5">
        <w:rPr>
          <w:sz w:val="24"/>
          <w:szCs w:val="24"/>
          <w:lang w:val="el-GR"/>
        </w:rPr>
        <w:t xml:space="preserve"> </w:t>
      </w:r>
      <w:r>
        <w:rPr>
          <w:sz w:val="24"/>
          <w:szCs w:val="24"/>
          <w:lang w:val="el-GR"/>
        </w:rPr>
        <w:t>σε</w:t>
      </w:r>
      <w:r w:rsidRPr="007455B5">
        <w:rPr>
          <w:sz w:val="24"/>
          <w:szCs w:val="24"/>
          <w:lang w:val="el-GR"/>
        </w:rPr>
        <w:t xml:space="preserve"> </w:t>
      </w:r>
      <w:r>
        <w:rPr>
          <w:sz w:val="24"/>
          <w:szCs w:val="24"/>
          <w:lang w:val="el-GR"/>
        </w:rPr>
        <w:t xml:space="preserve">κάθε μέσο ή μορφή </w:t>
      </w:r>
    </w:p>
    <w:p w14:paraId="15A6AA6E" w14:textId="50D9478E" w:rsidR="005C4F06" w:rsidRPr="005C4F06" w:rsidRDefault="005C4F06" w:rsidP="005C4F06">
      <w:pPr>
        <w:numPr>
          <w:ilvl w:val="0"/>
          <w:numId w:val="4"/>
        </w:numPr>
        <w:spacing w:after="200" w:line="312" w:lineRule="auto"/>
        <w:rPr>
          <w:color w:val="262626"/>
          <w:sz w:val="24"/>
          <w:szCs w:val="24"/>
          <w:lang w:val="el-GR"/>
        </w:rPr>
      </w:pPr>
      <w:r w:rsidRPr="005C4F06">
        <w:rPr>
          <w:sz w:val="24"/>
          <w:szCs w:val="24"/>
          <w:lang w:val="el-GR"/>
        </w:rPr>
        <w:t>τ</w:t>
      </w:r>
      <w:r w:rsidR="007455B5" w:rsidRPr="005C4F06">
        <w:rPr>
          <w:sz w:val="24"/>
          <w:szCs w:val="24"/>
          <w:lang w:val="el-GR"/>
        </w:rPr>
        <w:t>ροποποιήσετε</w:t>
      </w:r>
      <w:r w:rsidR="004F7B96" w:rsidRPr="005C4F06">
        <w:rPr>
          <w:sz w:val="24"/>
          <w:szCs w:val="24"/>
          <w:lang w:val="el-GR"/>
        </w:rPr>
        <w:t xml:space="preserve"> — </w:t>
      </w:r>
      <w:r>
        <w:rPr>
          <w:sz w:val="24"/>
          <w:szCs w:val="24"/>
          <w:lang w:val="el-GR"/>
        </w:rPr>
        <w:t>διασκευάσετε</w:t>
      </w:r>
      <w:r w:rsidRPr="005C4F06">
        <w:rPr>
          <w:sz w:val="24"/>
          <w:szCs w:val="24"/>
          <w:lang w:val="el-GR"/>
        </w:rPr>
        <w:t xml:space="preserve">, </w:t>
      </w:r>
      <w:r>
        <w:rPr>
          <w:sz w:val="24"/>
          <w:szCs w:val="24"/>
          <w:lang w:val="el-GR"/>
        </w:rPr>
        <w:t>τροποποιήσετε</w:t>
      </w:r>
      <w:r w:rsidRPr="005C4F06">
        <w:rPr>
          <w:sz w:val="24"/>
          <w:szCs w:val="24"/>
          <w:lang w:val="el-GR"/>
        </w:rPr>
        <w:t xml:space="preserve"> και </w:t>
      </w:r>
      <w:r>
        <w:rPr>
          <w:sz w:val="24"/>
          <w:szCs w:val="24"/>
          <w:lang w:val="el-GR"/>
        </w:rPr>
        <w:t>δημιουργήσετε παράγωγα του υλικού</w:t>
      </w:r>
      <w:r w:rsidRPr="005C4F06">
        <w:rPr>
          <w:sz w:val="24"/>
          <w:szCs w:val="24"/>
          <w:lang w:val="el-GR"/>
        </w:rPr>
        <w:t xml:space="preserve"> </w:t>
      </w:r>
    </w:p>
    <w:p w14:paraId="3A661C53" w14:textId="35E4F21D" w:rsidR="00426980" w:rsidRPr="005C4F06" w:rsidRDefault="005C4F06" w:rsidP="005C4F06">
      <w:pPr>
        <w:spacing w:after="200" w:line="312" w:lineRule="auto"/>
        <w:ind w:left="227"/>
        <w:rPr>
          <w:color w:val="262626"/>
          <w:sz w:val="24"/>
          <w:szCs w:val="24"/>
          <w:lang w:val="el-GR"/>
        </w:rPr>
      </w:pPr>
      <w:r>
        <w:rPr>
          <w:sz w:val="24"/>
          <w:szCs w:val="24"/>
          <w:lang w:val="el-GR"/>
        </w:rPr>
        <w:t>υ</w:t>
      </w:r>
      <w:r w:rsidR="007455B5" w:rsidRPr="005C4F06">
        <w:rPr>
          <w:color w:val="262626"/>
          <w:sz w:val="24"/>
          <w:szCs w:val="24"/>
          <w:lang w:val="el-GR"/>
        </w:rPr>
        <w:t>πό τους παρακάτω όρους</w:t>
      </w:r>
      <w:r w:rsidR="004F7B96" w:rsidRPr="005C4F06">
        <w:rPr>
          <w:color w:val="262626"/>
          <w:sz w:val="24"/>
          <w:szCs w:val="24"/>
          <w:lang w:val="el-GR"/>
        </w:rPr>
        <w:t>:</w:t>
      </w:r>
    </w:p>
    <w:p w14:paraId="7A597FA7" w14:textId="125A18DE" w:rsidR="00426980" w:rsidRPr="007455B5" w:rsidRDefault="007455B5" w:rsidP="007455B5">
      <w:pPr>
        <w:numPr>
          <w:ilvl w:val="0"/>
          <w:numId w:val="4"/>
        </w:numPr>
        <w:spacing w:before="280" w:after="0" w:line="312" w:lineRule="auto"/>
        <w:rPr>
          <w:sz w:val="24"/>
          <w:szCs w:val="24"/>
          <w:lang w:val="el-GR"/>
        </w:rPr>
      </w:pPr>
      <w:r>
        <w:rPr>
          <w:sz w:val="24"/>
          <w:szCs w:val="24"/>
          <w:lang w:val="el-GR"/>
        </w:rPr>
        <w:t xml:space="preserve">Αναφορά στον αρχικό δημιουργό - </w:t>
      </w:r>
      <w:r w:rsidRPr="007455B5">
        <w:rPr>
          <w:sz w:val="24"/>
          <w:szCs w:val="24"/>
          <w:lang w:val="el-GR"/>
        </w:rPr>
        <w:t>Σε αυτή την περίπτωση οποιοσδήποτε επιθυμεί να αναπαράγει ή να τροποποιήσει το εν λόγω έργο οφείλει να πραγματοποιήσει αναφορά στον αρχικό δημιουργό</w:t>
      </w:r>
      <w:r>
        <w:rPr>
          <w:sz w:val="24"/>
          <w:szCs w:val="24"/>
          <w:lang w:val="el-GR"/>
        </w:rPr>
        <w:t xml:space="preserve"> </w:t>
      </w:r>
    </w:p>
    <w:p w14:paraId="3A595E90" w14:textId="77777777" w:rsidR="007455B5" w:rsidRDefault="007455B5" w:rsidP="007455B5">
      <w:pPr>
        <w:numPr>
          <w:ilvl w:val="0"/>
          <w:numId w:val="4"/>
        </w:numPr>
        <w:spacing w:after="0" w:line="312" w:lineRule="auto"/>
        <w:rPr>
          <w:color w:val="000000"/>
          <w:sz w:val="24"/>
          <w:szCs w:val="24"/>
          <w:lang w:val="el-GR"/>
        </w:rPr>
      </w:pPr>
      <w:r w:rsidRPr="007455B5">
        <w:rPr>
          <w:sz w:val="24"/>
          <w:szCs w:val="24"/>
          <w:lang w:val="el-GR"/>
        </w:rPr>
        <w:t>Απαγόρ</w:t>
      </w:r>
      <w:r>
        <w:rPr>
          <w:sz w:val="24"/>
          <w:szCs w:val="24"/>
          <w:lang w:val="el-GR"/>
        </w:rPr>
        <w:t xml:space="preserve">ευση εμπορικής χρήσης του έργου- </w:t>
      </w:r>
      <w:r w:rsidRPr="007455B5">
        <w:rPr>
          <w:sz w:val="24"/>
          <w:szCs w:val="24"/>
          <w:lang w:val="el-GR"/>
        </w:rPr>
        <w:t>Σε αυτή την περίπτωση η χρήση του έργου με εμπορικό σκοπό απαγορεύεται.</w:t>
      </w:r>
    </w:p>
    <w:p w14:paraId="6FEC4396" w14:textId="1C978FB6" w:rsidR="00426980" w:rsidRPr="007455B5" w:rsidRDefault="007455B5" w:rsidP="007455B5">
      <w:pPr>
        <w:numPr>
          <w:ilvl w:val="0"/>
          <w:numId w:val="4"/>
        </w:numPr>
        <w:spacing w:after="0" w:line="312" w:lineRule="auto"/>
        <w:rPr>
          <w:sz w:val="24"/>
          <w:szCs w:val="24"/>
          <w:lang w:val="el-GR"/>
        </w:rPr>
      </w:pPr>
      <w:r w:rsidRPr="007455B5">
        <w:rPr>
          <w:sz w:val="24"/>
          <w:szCs w:val="24"/>
          <w:lang w:val="el-GR"/>
        </w:rPr>
        <w:t xml:space="preserve">Διανομή του παράγωγου έργου με τους όρους </w:t>
      </w:r>
      <w:r>
        <w:rPr>
          <w:sz w:val="24"/>
          <w:szCs w:val="24"/>
          <w:lang w:val="el-GR"/>
        </w:rPr>
        <w:t xml:space="preserve">της </w:t>
      </w:r>
      <w:r w:rsidRPr="007455B5">
        <w:rPr>
          <w:sz w:val="24"/>
          <w:szCs w:val="24"/>
          <w:lang w:val="el-GR"/>
        </w:rPr>
        <w:t>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55E9C58F" w14:textId="77777777" w:rsidR="00426980" w:rsidRPr="007455B5" w:rsidRDefault="00426980">
      <w:pPr>
        <w:spacing w:line="240" w:lineRule="auto"/>
        <w:rPr>
          <w:sz w:val="24"/>
          <w:szCs w:val="24"/>
          <w:lang w:val="el-GR"/>
        </w:rPr>
      </w:pPr>
    </w:p>
    <w:p w14:paraId="044CD74B" w14:textId="77777777" w:rsidR="00426980" w:rsidRPr="007455B5" w:rsidRDefault="00426980">
      <w:pPr>
        <w:spacing w:line="240" w:lineRule="auto"/>
        <w:rPr>
          <w:sz w:val="24"/>
          <w:szCs w:val="24"/>
          <w:lang w:val="el-GR"/>
        </w:rPr>
      </w:pPr>
    </w:p>
    <w:p w14:paraId="12EC11A5" w14:textId="77777777" w:rsidR="00426980" w:rsidRPr="007455B5" w:rsidRDefault="00426980">
      <w:pPr>
        <w:spacing w:line="240" w:lineRule="auto"/>
        <w:rPr>
          <w:sz w:val="24"/>
          <w:szCs w:val="24"/>
          <w:lang w:val="el-GR"/>
        </w:rPr>
      </w:pPr>
    </w:p>
    <w:p w14:paraId="056D9FAB" w14:textId="77777777" w:rsidR="00426980" w:rsidRPr="007455B5" w:rsidRDefault="00426980">
      <w:pPr>
        <w:spacing w:line="240" w:lineRule="auto"/>
        <w:rPr>
          <w:sz w:val="24"/>
          <w:szCs w:val="24"/>
          <w:lang w:val="el-GR"/>
        </w:rPr>
      </w:pPr>
    </w:p>
    <w:p w14:paraId="5993037D" w14:textId="77777777" w:rsidR="00426980" w:rsidRPr="007455B5" w:rsidRDefault="00426980">
      <w:pPr>
        <w:spacing w:line="240" w:lineRule="auto"/>
        <w:rPr>
          <w:sz w:val="24"/>
          <w:szCs w:val="24"/>
          <w:lang w:val="el-GR"/>
        </w:rPr>
      </w:pPr>
    </w:p>
    <w:p w14:paraId="77F9BE3B" w14:textId="77777777" w:rsidR="00426980" w:rsidRPr="007455B5" w:rsidRDefault="00426980">
      <w:pPr>
        <w:jc w:val="center"/>
        <w:rPr>
          <w:sz w:val="24"/>
          <w:szCs w:val="24"/>
          <w:lang w:val="el-GR"/>
        </w:rPr>
      </w:pPr>
    </w:p>
    <w:p w14:paraId="4303C5E2" w14:textId="77777777" w:rsidR="00426980" w:rsidRPr="007455B5" w:rsidRDefault="00426980">
      <w:pPr>
        <w:jc w:val="center"/>
        <w:rPr>
          <w:sz w:val="24"/>
          <w:szCs w:val="24"/>
          <w:lang w:val="el-GR"/>
        </w:rPr>
      </w:pPr>
    </w:p>
    <w:p w14:paraId="02CB5109" w14:textId="77777777" w:rsidR="00426980" w:rsidRPr="007455B5" w:rsidRDefault="00426980">
      <w:pPr>
        <w:jc w:val="center"/>
        <w:rPr>
          <w:sz w:val="24"/>
          <w:szCs w:val="24"/>
          <w:lang w:val="el-GR"/>
        </w:rPr>
      </w:pPr>
    </w:p>
    <w:p w14:paraId="42CE6B4A" w14:textId="77777777" w:rsidR="00426980" w:rsidRPr="002E630B" w:rsidRDefault="00426980">
      <w:pPr>
        <w:jc w:val="center"/>
        <w:rPr>
          <w:i/>
          <w:sz w:val="24"/>
          <w:szCs w:val="24"/>
          <w:lang w:val="el-GR"/>
        </w:rPr>
      </w:pPr>
    </w:p>
    <w:p w14:paraId="03F6DD37" w14:textId="4C99B90A" w:rsidR="00426980" w:rsidRPr="002D4C68" w:rsidRDefault="002D4C68">
      <w:pPr>
        <w:keepNext/>
        <w:keepLines/>
        <w:pBdr>
          <w:top w:val="nil"/>
          <w:left w:val="nil"/>
          <w:bottom w:val="nil"/>
          <w:right w:val="nil"/>
          <w:between w:val="nil"/>
        </w:pBdr>
        <w:spacing w:before="240" w:after="0" w:line="259" w:lineRule="auto"/>
        <w:jc w:val="left"/>
        <w:rPr>
          <w:b/>
          <w:color w:val="000000"/>
          <w:sz w:val="24"/>
          <w:szCs w:val="24"/>
          <w:lang w:val="el-GR"/>
        </w:rPr>
      </w:pPr>
      <w:r>
        <w:rPr>
          <w:b/>
          <w:color w:val="000000"/>
          <w:sz w:val="24"/>
          <w:szCs w:val="24"/>
          <w:lang w:val="el-GR"/>
        </w:rPr>
        <w:t>Περιεχόμενα</w:t>
      </w:r>
    </w:p>
    <w:sdt>
      <w:sdtPr>
        <w:id w:val="22681865"/>
        <w:docPartObj>
          <w:docPartGallery w:val="Table of Contents"/>
          <w:docPartUnique/>
        </w:docPartObj>
      </w:sdtPr>
      <w:sdtEndPr/>
      <w:sdtContent>
        <w:p w14:paraId="432A2DEE" w14:textId="262E6605" w:rsidR="000C0D2C" w:rsidRDefault="004F7B96">
          <w:pPr>
            <w:pStyle w:val="10"/>
            <w:rPr>
              <w:rFonts w:asciiTheme="minorHAnsi" w:eastAsiaTheme="minorEastAsia" w:hAnsiTheme="minorHAnsi" w:cstheme="minorBidi"/>
              <w:noProof/>
              <w:lang w:val="el-GR" w:eastAsia="el-GR"/>
            </w:rPr>
          </w:pPr>
          <w:r>
            <w:fldChar w:fldCharType="begin"/>
          </w:r>
          <w:r>
            <w:instrText xml:space="preserve"> TOC \h \u \z </w:instrText>
          </w:r>
          <w:r>
            <w:fldChar w:fldCharType="separate"/>
          </w:r>
          <w:hyperlink w:anchor="_Toc109900518" w:history="1">
            <w:r w:rsidR="000C0D2C" w:rsidRPr="00922A6C">
              <w:rPr>
                <w:rStyle w:val="-"/>
                <w:noProof/>
                <w:lang w:val="el-GR"/>
              </w:rPr>
              <w:t>Εισαγωγή</w:t>
            </w:r>
            <w:r w:rsidR="000C0D2C">
              <w:rPr>
                <w:noProof/>
                <w:webHidden/>
              </w:rPr>
              <w:tab/>
            </w:r>
            <w:r w:rsidR="000C0D2C">
              <w:rPr>
                <w:noProof/>
                <w:webHidden/>
              </w:rPr>
              <w:fldChar w:fldCharType="begin"/>
            </w:r>
            <w:r w:rsidR="000C0D2C">
              <w:rPr>
                <w:noProof/>
                <w:webHidden/>
              </w:rPr>
              <w:instrText xml:space="preserve"> PAGEREF _Toc109900518 \h </w:instrText>
            </w:r>
            <w:r w:rsidR="000C0D2C">
              <w:rPr>
                <w:noProof/>
                <w:webHidden/>
              </w:rPr>
            </w:r>
            <w:r w:rsidR="000C0D2C">
              <w:rPr>
                <w:noProof/>
                <w:webHidden/>
              </w:rPr>
              <w:fldChar w:fldCharType="separate"/>
            </w:r>
            <w:r w:rsidR="00AE68C0">
              <w:rPr>
                <w:noProof/>
                <w:webHidden/>
              </w:rPr>
              <w:t>1</w:t>
            </w:r>
            <w:r w:rsidR="000C0D2C">
              <w:rPr>
                <w:noProof/>
                <w:webHidden/>
              </w:rPr>
              <w:fldChar w:fldCharType="end"/>
            </w:r>
          </w:hyperlink>
        </w:p>
        <w:p w14:paraId="4430D330" w14:textId="27D49766" w:rsidR="000C0D2C" w:rsidRDefault="000C0D2C">
          <w:pPr>
            <w:pStyle w:val="10"/>
            <w:rPr>
              <w:rFonts w:asciiTheme="minorHAnsi" w:eastAsiaTheme="minorEastAsia" w:hAnsiTheme="minorHAnsi" w:cstheme="minorBidi"/>
              <w:noProof/>
              <w:lang w:val="el-GR" w:eastAsia="el-GR"/>
            </w:rPr>
          </w:pPr>
          <w:hyperlink w:anchor="_Toc109900519" w:history="1">
            <w:r w:rsidRPr="00922A6C">
              <w:rPr>
                <w:rStyle w:val="-"/>
                <w:noProof/>
                <w:lang w:val="el-GR"/>
              </w:rPr>
              <w:t>1.</w:t>
            </w:r>
            <w:r>
              <w:rPr>
                <w:rFonts w:asciiTheme="minorHAnsi" w:eastAsiaTheme="minorEastAsia" w:hAnsiTheme="minorHAnsi" w:cstheme="minorBidi"/>
                <w:noProof/>
                <w:lang w:val="el-GR" w:eastAsia="el-GR"/>
              </w:rPr>
              <w:tab/>
            </w:r>
            <w:r w:rsidRPr="00922A6C">
              <w:rPr>
                <w:rStyle w:val="-"/>
                <w:noProof/>
                <w:lang w:val="el-GR"/>
              </w:rPr>
              <w:t>Οργανισμός Εθνικού Συστήματος Υγείας στην Ελλάδα</w:t>
            </w:r>
            <w:r>
              <w:rPr>
                <w:noProof/>
                <w:webHidden/>
              </w:rPr>
              <w:tab/>
            </w:r>
            <w:r>
              <w:rPr>
                <w:noProof/>
                <w:webHidden/>
              </w:rPr>
              <w:fldChar w:fldCharType="begin"/>
            </w:r>
            <w:r>
              <w:rPr>
                <w:noProof/>
                <w:webHidden/>
              </w:rPr>
              <w:instrText xml:space="preserve"> PAGEREF _Toc109900519 \h </w:instrText>
            </w:r>
            <w:r>
              <w:rPr>
                <w:noProof/>
                <w:webHidden/>
              </w:rPr>
            </w:r>
            <w:r>
              <w:rPr>
                <w:noProof/>
                <w:webHidden/>
              </w:rPr>
              <w:fldChar w:fldCharType="separate"/>
            </w:r>
            <w:r w:rsidR="00AE68C0">
              <w:rPr>
                <w:noProof/>
                <w:webHidden/>
              </w:rPr>
              <w:t>2</w:t>
            </w:r>
            <w:r>
              <w:rPr>
                <w:noProof/>
                <w:webHidden/>
              </w:rPr>
              <w:fldChar w:fldCharType="end"/>
            </w:r>
          </w:hyperlink>
        </w:p>
        <w:p w14:paraId="2022A192" w14:textId="7E9208A5" w:rsidR="000C0D2C" w:rsidRDefault="000C0D2C">
          <w:pPr>
            <w:pStyle w:val="20"/>
            <w:tabs>
              <w:tab w:val="right" w:pos="9062"/>
            </w:tabs>
            <w:rPr>
              <w:rFonts w:asciiTheme="minorHAnsi" w:eastAsiaTheme="minorEastAsia" w:hAnsiTheme="minorHAnsi" w:cstheme="minorBidi"/>
              <w:noProof/>
              <w:lang w:val="el-GR" w:eastAsia="el-GR"/>
            </w:rPr>
          </w:pPr>
          <w:hyperlink w:anchor="_Toc109900520" w:history="1">
            <w:r w:rsidRPr="00922A6C">
              <w:rPr>
                <w:rStyle w:val="-"/>
                <w:noProof/>
                <w:lang w:val="el-GR"/>
              </w:rPr>
              <w:t>1.1 Εθνική Ασφάλιση Υγείας</w:t>
            </w:r>
            <w:r>
              <w:rPr>
                <w:noProof/>
                <w:webHidden/>
              </w:rPr>
              <w:tab/>
            </w:r>
            <w:r>
              <w:rPr>
                <w:noProof/>
                <w:webHidden/>
              </w:rPr>
              <w:fldChar w:fldCharType="begin"/>
            </w:r>
            <w:r>
              <w:rPr>
                <w:noProof/>
                <w:webHidden/>
              </w:rPr>
              <w:instrText xml:space="preserve"> PAGEREF _Toc109900520 \h </w:instrText>
            </w:r>
            <w:r>
              <w:rPr>
                <w:noProof/>
                <w:webHidden/>
              </w:rPr>
            </w:r>
            <w:r>
              <w:rPr>
                <w:noProof/>
                <w:webHidden/>
              </w:rPr>
              <w:fldChar w:fldCharType="separate"/>
            </w:r>
            <w:r w:rsidR="00AE68C0">
              <w:rPr>
                <w:noProof/>
                <w:webHidden/>
              </w:rPr>
              <w:t>2</w:t>
            </w:r>
            <w:r>
              <w:rPr>
                <w:noProof/>
                <w:webHidden/>
              </w:rPr>
              <w:fldChar w:fldCharType="end"/>
            </w:r>
          </w:hyperlink>
        </w:p>
        <w:p w14:paraId="6B9D1C4D" w14:textId="36F0D9D9" w:rsidR="000C0D2C" w:rsidRDefault="000C0D2C">
          <w:pPr>
            <w:pStyle w:val="20"/>
            <w:tabs>
              <w:tab w:val="right" w:pos="9062"/>
            </w:tabs>
            <w:rPr>
              <w:rFonts w:asciiTheme="minorHAnsi" w:eastAsiaTheme="minorEastAsia" w:hAnsiTheme="minorHAnsi" w:cstheme="minorBidi"/>
              <w:noProof/>
              <w:lang w:val="el-GR" w:eastAsia="el-GR"/>
            </w:rPr>
          </w:pPr>
          <w:hyperlink w:anchor="_Toc109900521" w:history="1">
            <w:r w:rsidRPr="00922A6C">
              <w:rPr>
                <w:rStyle w:val="-"/>
                <w:noProof/>
                <w:lang w:val="el-GR"/>
              </w:rPr>
              <w:t>1.2 Πρόσβαση στο Σύστημα Υγείας</w:t>
            </w:r>
            <w:r>
              <w:rPr>
                <w:noProof/>
                <w:webHidden/>
              </w:rPr>
              <w:tab/>
            </w:r>
            <w:r>
              <w:rPr>
                <w:noProof/>
                <w:webHidden/>
              </w:rPr>
              <w:fldChar w:fldCharType="begin"/>
            </w:r>
            <w:r>
              <w:rPr>
                <w:noProof/>
                <w:webHidden/>
              </w:rPr>
              <w:instrText xml:space="preserve"> PAGEREF _Toc109900521 \h </w:instrText>
            </w:r>
            <w:r>
              <w:rPr>
                <w:noProof/>
                <w:webHidden/>
              </w:rPr>
            </w:r>
            <w:r>
              <w:rPr>
                <w:noProof/>
                <w:webHidden/>
              </w:rPr>
              <w:fldChar w:fldCharType="separate"/>
            </w:r>
            <w:r w:rsidR="00AE68C0">
              <w:rPr>
                <w:noProof/>
                <w:webHidden/>
              </w:rPr>
              <w:t>5</w:t>
            </w:r>
            <w:r>
              <w:rPr>
                <w:noProof/>
                <w:webHidden/>
              </w:rPr>
              <w:fldChar w:fldCharType="end"/>
            </w:r>
          </w:hyperlink>
        </w:p>
        <w:p w14:paraId="0553B402" w14:textId="10A8C1E0" w:rsidR="000C0D2C" w:rsidRDefault="000C0D2C">
          <w:pPr>
            <w:pStyle w:val="10"/>
            <w:rPr>
              <w:rFonts w:asciiTheme="minorHAnsi" w:eastAsiaTheme="minorEastAsia" w:hAnsiTheme="minorHAnsi" w:cstheme="minorBidi"/>
              <w:noProof/>
              <w:lang w:val="el-GR" w:eastAsia="el-GR"/>
            </w:rPr>
          </w:pPr>
          <w:hyperlink w:anchor="_Toc109900522" w:history="1">
            <w:r w:rsidRPr="00922A6C">
              <w:rPr>
                <w:rStyle w:val="-"/>
                <w:noProof/>
                <w:lang w:val="el-GR"/>
              </w:rPr>
              <w:t>2.</w:t>
            </w:r>
            <w:r>
              <w:rPr>
                <w:rFonts w:asciiTheme="minorHAnsi" w:eastAsiaTheme="minorEastAsia" w:hAnsiTheme="minorHAnsi" w:cstheme="minorBidi"/>
                <w:noProof/>
                <w:lang w:val="el-GR" w:eastAsia="el-GR"/>
              </w:rPr>
              <w:tab/>
            </w:r>
            <w:r w:rsidRPr="00922A6C">
              <w:rPr>
                <w:rStyle w:val="-"/>
                <w:noProof/>
                <w:lang w:val="el-GR"/>
              </w:rPr>
              <w:t>Υγειονομική περίθαλψη μεταναστών στην Ελλάδα</w:t>
            </w:r>
            <w:r>
              <w:rPr>
                <w:noProof/>
                <w:webHidden/>
              </w:rPr>
              <w:tab/>
            </w:r>
            <w:r>
              <w:rPr>
                <w:noProof/>
                <w:webHidden/>
              </w:rPr>
              <w:fldChar w:fldCharType="begin"/>
            </w:r>
            <w:r>
              <w:rPr>
                <w:noProof/>
                <w:webHidden/>
              </w:rPr>
              <w:instrText xml:space="preserve"> PAGEREF _Toc109900522 \h </w:instrText>
            </w:r>
            <w:r>
              <w:rPr>
                <w:noProof/>
                <w:webHidden/>
              </w:rPr>
            </w:r>
            <w:r>
              <w:rPr>
                <w:noProof/>
                <w:webHidden/>
              </w:rPr>
              <w:fldChar w:fldCharType="separate"/>
            </w:r>
            <w:r w:rsidR="00AE68C0">
              <w:rPr>
                <w:noProof/>
                <w:webHidden/>
              </w:rPr>
              <w:t>5</w:t>
            </w:r>
            <w:r>
              <w:rPr>
                <w:noProof/>
                <w:webHidden/>
              </w:rPr>
              <w:fldChar w:fldCharType="end"/>
            </w:r>
          </w:hyperlink>
        </w:p>
        <w:p w14:paraId="772D51EB" w14:textId="047809B5" w:rsidR="000C0D2C" w:rsidRDefault="000C0D2C">
          <w:pPr>
            <w:pStyle w:val="10"/>
            <w:rPr>
              <w:rFonts w:asciiTheme="minorHAnsi" w:eastAsiaTheme="minorEastAsia" w:hAnsiTheme="minorHAnsi" w:cstheme="minorBidi"/>
              <w:noProof/>
              <w:lang w:val="el-GR" w:eastAsia="el-GR"/>
            </w:rPr>
          </w:pPr>
          <w:hyperlink w:anchor="_Toc109900523" w:history="1">
            <w:r w:rsidRPr="00922A6C">
              <w:rPr>
                <w:rStyle w:val="-"/>
                <w:noProof/>
                <w:lang w:val="el-GR"/>
              </w:rPr>
              <w:t>Βιβλιογραφικές αναφορές</w:t>
            </w:r>
            <w:r>
              <w:rPr>
                <w:noProof/>
                <w:webHidden/>
              </w:rPr>
              <w:tab/>
            </w:r>
            <w:r>
              <w:rPr>
                <w:noProof/>
                <w:webHidden/>
              </w:rPr>
              <w:fldChar w:fldCharType="begin"/>
            </w:r>
            <w:r>
              <w:rPr>
                <w:noProof/>
                <w:webHidden/>
              </w:rPr>
              <w:instrText xml:space="preserve"> PAGEREF _Toc109900523 \h </w:instrText>
            </w:r>
            <w:r>
              <w:rPr>
                <w:noProof/>
                <w:webHidden/>
              </w:rPr>
            </w:r>
            <w:r>
              <w:rPr>
                <w:noProof/>
                <w:webHidden/>
              </w:rPr>
              <w:fldChar w:fldCharType="separate"/>
            </w:r>
            <w:r w:rsidR="00AE68C0">
              <w:rPr>
                <w:noProof/>
                <w:webHidden/>
              </w:rPr>
              <w:t>7</w:t>
            </w:r>
            <w:r>
              <w:rPr>
                <w:noProof/>
                <w:webHidden/>
              </w:rPr>
              <w:fldChar w:fldCharType="end"/>
            </w:r>
          </w:hyperlink>
        </w:p>
        <w:p w14:paraId="796A9D0F" w14:textId="20AC901F" w:rsidR="00426980" w:rsidRDefault="004F7B96">
          <w:pPr>
            <w:pBdr>
              <w:top w:val="nil"/>
              <w:left w:val="nil"/>
              <w:bottom w:val="nil"/>
              <w:right w:val="nil"/>
              <w:between w:val="nil"/>
            </w:pBdr>
            <w:tabs>
              <w:tab w:val="left" w:pos="270"/>
              <w:tab w:val="right" w:pos="9060"/>
              <w:tab w:val="left" w:pos="435"/>
            </w:tabs>
            <w:spacing w:after="100"/>
            <w:rPr>
              <w:color w:val="000000"/>
            </w:rPr>
          </w:pPr>
          <w:r>
            <w:fldChar w:fldCharType="end"/>
          </w:r>
        </w:p>
      </w:sdtContent>
    </w:sdt>
    <w:p w14:paraId="0A182E81" w14:textId="77777777" w:rsidR="00426980" w:rsidRDefault="00426980"/>
    <w:p w14:paraId="3B2F12D8" w14:textId="77777777" w:rsidR="00DD1184" w:rsidRDefault="00DD1184">
      <w:pPr>
        <w:sectPr w:rsidR="00DD1184">
          <w:pgSz w:w="11906" w:h="16838"/>
          <w:pgMar w:top="1417" w:right="1417" w:bottom="1134" w:left="1417" w:header="708" w:footer="708" w:gutter="0"/>
          <w:pgNumType w:start="1"/>
          <w:cols w:space="720"/>
        </w:sectPr>
      </w:pPr>
    </w:p>
    <w:p w14:paraId="0EF5AC92" w14:textId="5846BBCC" w:rsidR="00FA51F4" w:rsidRPr="004A278A" w:rsidRDefault="004A278A" w:rsidP="00FA51F4">
      <w:pPr>
        <w:pStyle w:val="1"/>
        <w:rPr>
          <w:sz w:val="28"/>
          <w:szCs w:val="28"/>
          <w:lang w:val="el-GR"/>
        </w:rPr>
      </w:pPr>
      <w:bookmarkStart w:id="1" w:name="_Toc109900518"/>
      <w:r>
        <w:rPr>
          <w:sz w:val="28"/>
          <w:szCs w:val="28"/>
          <w:lang w:val="el-GR"/>
        </w:rPr>
        <w:lastRenderedPageBreak/>
        <w:t>Εισαγωγή</w:t>
      </w:r>
      <w:bookmarkEnd w:id="1"/>
    </w:p>
    <w:p w14:paraId="5856F697" w14:textId="1C943C4C" w:rsidR="00FA51F4" w:rsidRPr="00FA51F4" w:rsidRDefault="00FA51F4">
      <w:pPr>
        <w:rPr>
          <w:sz w:val="24"/>
          <w:szCs w:val="24"/>
          <w:lang w:val="el-GR"/>
        </w:rPr>
      </w:pPr>
      <w:r>
        <w:rPr>
          <w:sz w:val="24"/>
          <w:szCs w:val="24"/>
          <w:lang w:val="el-GR"/>
        </w:rPr>
        <w:t xml:space="preserve">Το παρακάτω εγχειρίδιο έχει αναπτυχθεί στο πλαίσιο </w:t>
      </w:r>
      <w:r w:rsidR="002D4C68">
        <w:rPr>
          <w:sz w:val="24"/>
          <w:szCs w:val="24"/>
          <w:lang w:val="el-GR"/>
        </w:rPr>
        <w:t xml:space="preserve">του </w:t>
      </w:r>
      <w:r w:rsidR="002D4C68">
        <w:rPr>
          <w:sz w:val="24"/>
          <w:szCs w:val="24"/>
          <w:lang w:val="en-US"/>
        </w:rPr>
        <w:t>IO</w:t>
      </w:r>
      <w:r>
        <w:rPr>
          <w:sz w:val="24"/>
          <w:szCs w:val="24"/>
          <w:lang w:val="el-GR"/>
        </w:rPr>
        <w:t xml:space="preserve">2 του προγράμματος </w:t>
      </w:r>
      <w:r>
        <w:rPr>
          <w:sz w:val="24"/>
          <w:szCs w:val="24"/>
        </w:rPr>
        <w:t>MIG</w:t>
      </w:r>
      <w:r w:rsidRPr="00FA51F4">
        <w:rPr>
          <w:sz w:val="24"/>
          <w:szCs w:val="24"/>
          <w:lang w:val="el-GR"/>
        </w:rPr>
        <w:t>-</w:t>
      </w:r>
      <w:r>
        <w:rPr>
          <w:sz w:val="24"/>
          <w:szCs w:val="24"/>
        </w:rPr>
        <w:t>DHL</w:t>
      </w:r>
      <w:r w:rsidRPr="00FA51F4">
        <w:rPr>
          <w:sz w:val="24"/>
          <w:szCs w:val="24"/>
          <w:lang w:val="el-GR"/>
        </w:rPr>
        <w:t>.</w:t>
      </w:r>
      <w:r>
        <w:rPr>
          <w:sz w:val="24"/>
          <w:szCs w:val="24"/>
          <w:lang w:val="el-GR"/>
        </w:rPr>
        <w:t xml:space="preserve"> Αυτό το εγχειρίδιο καλύπτει τις έξι ενότητες που αναπτύχθηκαν κατά τη διάρκεια του προγράμματος </w:t>
      </w:r>
      <w:r>
        <w:rPr>
          <w:sz w:val="24"/>
          <w:szCs w:val="24"/>
        </w:rPr>
        <w:t>MIG</w:t>
      </w:r>
      <w:r w:rsidRPr="00FA51F4">
        <w:rPr>
          <w:sz w:val="24"/>
          <w:szCs w:val="24"/>
          <w:lang w:val="el-GR"/>
        </w:rPr>
        <w:t>-</w:t>
      </w:r>
      <w:r>
        <w:rPr>
          <w:sz w:val="24"/>
          <w:szCs w:val="24"/>
        </w:rPr>
        <w:t>DHL</w:t>
      </w:r>
      <w:r w:rsidRPr="00FA51F4">
        <w:rPr>
          <w:sz w:val="24"/>
          <w:szCs w:val="24"/>
          <w:lang w:val="el-GR"/>
        </w:rPr>
        <w:t>:</w:t>
      </w:r>
    </w:p>
    <w:p w14:paraId="5205F4ED" w14:textId="041026F4" w:rsidR="002D4C68" w:rsidRDefault="002D4C68" w:rsidP="007A4878">
      <w:pPr>
        <w:numPr>
          <w:ilvl w:val="0"/>
          <w:numId w:val="2"/>
        </w:numPr>
        <w:pBdr>
          <w:top w:val="nil"/>
          <w:left w:val="nil"/>
          <w:bottom w:val="nil"/>
          <w:right w:val="nil"/>
          <w:between w:val="nil"/>
        </w:pBdr>
        <w:spacing w:after="0"/>
        <w:rPr>
          <w:color w:val="000000"/>
          <w:sz w:val="24"/>
          <w:szCs w:val="24"/>
          <w:lang w:val="el-GR"/>
        </w:rPr>
      </w:pPr>
      <w:proofErr w:type="spellStart"/>
      <w:r w:rsidRPr="002D4C68">
        <w:rPr>
          <w:color w:val="000000"/>
          <w:sz w:val="24"/>
          <w:szCs w:val="24"/>
          <w:lang w:val="de-DE"/>
        </w:rPr>
        <w:t>Τι</w:t>
      </w:r>
      <w:proofErr w:type="spellEnd"/>
      <w:r w:rsidRPr="002D4C68">
        <w:rPr>
          <w:color w:val="000000"/>
          <w:sz w:val="24"/>
          <w:szCs w:val="24"/>
          <w:lang w:val="de-DE"/>
        </w:rPr>
        <w:t xml:space="preserve"> είναι ο </w:t>
      </w:r>
      <w:proofErr w:type="spellStart"/>
      <w:r w:rsidRPr="002D4C68">
        <w:rPr>
          <w:color w:val="000000"/>
          <w:sz w:val="24"/>
          <w:szCs w:val="24"/>
          <w:lang w:val="de-DE"/>
        </w:rPr>
        <w:t>ψηφι</w:t>
      </w:r>
      <w:proofErr w:type="spellEnd"/>
      <w:r w:rsidRPr="002D4C68">
        <w:rPr>
          <w:color w:val="000000"/>
          <w:sz w:val="24"/>
          <w:szCs w:val="24"/>
          <w:lang w:val="de-DE"/>
        </w:rPr>
        <w:t>ακός α</w:t>
      </w:r>
      <w:proofErr w:type="spellStart"/>
      <w:r w:rsidRPr="002D4C68">
        <w:rPr>
          <w:color w:val="000000"/>
          <w:sz w:val="24"/>
          <w:szCs w:val="24"/>
          <w:lang w:val="de-DE"/>
        </w:rPr>
        <w:t>λφ</w:t>
      </w:r>
      <w:proofErr w:type="spellEnd"/>
      <w:r w:rsidRPr="002D4C68">
        <w:rPr>
          <w:color w:val="000000"/>
          <w:sz w:val="24"/>
          <w:szCs w:val="24"/>
          <w:lang w:val="de-DE"/>
        </w:rPr>
        <w:t>αβητισμός</w:t>
      </w:r>
      <w:r w:rsidRPr="002D4C68">
        <w:rPr>
          <w:color w:val="000000"/>
          <w:sz w:val="24"/>
          <w:szCs w:val="24"/>
          <w:lang w:val="el-GR"/>
        </w:rPr>
        <w:t xml:space="preserve"> για την υγεία</w:t>
      </w:r>
      <w:r w:rsidRPr="002D4C68">
        <w:rPr>
          <w:color w:val="000000"/>
          <w:sz w:val="24"/>
          <w:szCs w:val="24"/>
          <w:lang w:val="de-DE"/>
        </w:rPr>
        <w:t xml:space="preserve"> και π</w:t>
      </w:r>
      <w:proofErr w:type="spellStart"/>
      <w:r w:rsidRPr="002D4C68">
        <w:rPr>
          <w:color w:val="000000"/>
          <w:sz w:val="24"/>
          <w:szCs w:val="24"/>
          <w:lang w:val="de-DE"/>
        </w:rPr>
        <w:t>οι</w:t>
      </w:r>
      <w:proofErr w:type="spellEnd"/>
      <w:r w:rsidRPr="002D4C68">
        <w:rPr>
          <w:color w:val="000000"/>
          <w:sz w:val="24"/>
          <w:szCs w:val="24"/>
          <w:lang w:val="de-DE"/>
        </w:rPr>
        <w:t xml:space="preserve">α η </w:t>
      </w:r>
      <w:proofErr w:type="spellStart"/>
      <w:r w:rsidRPr="002D4C68">
        <w:rPr>
          <w:color w:val="000000"/>
          <w:sz w:val="24"/>
          <w:szCs w:val="24"/>
          <w:lang w:val="de-DE"/>
        </w:rPr>
        <w:t>σημ</w:t>
      </w:r>
      <w:proofErr w:type="spellEnd"/>
      <w:r w:rsidRPr="002D4C68">
        <w:rPr>
          <w:color w:val="000000"/>
          <w:sz w:val="24"/>
          <w:szCs w:val="24"/>
          <w:lang w:val="de-DE"/>
        </w:rPr>
        <w:t xml:space="preserve">ασία </w:t>
      </w:r>
      <w:proofErr w:type="spellStart"/>
      <w:r w:rsidRPr="002D4C68">
        <w:rPr>
          <w:color w:val="000000"/>
          <w:sz w:val="24"/>
          <w:szCs w:val="24"/>
          <w:lang w:val="de-DE"/>
        </w:rPr>
        <w:t>του</w:t>
      </w:r>
      <w:proofErr w:type="spellEnd"/>
      <w:r>
        <w:rPr>
          <w:color w:val="000000"/>
          <w:sz w:val="24"/>
          <w:szCs w:val="24"/>
          <w:lang w:val="el-GR"/>
        </w:rPr>
        <w:t>;</w:t>
      </w:r>
      <w:r w:rsidRPr="002D4C68">
        <w:rPr>
          <w:color w:val="000000"/>
          <w:sz w:val="24"/>
          <w:szCs w:val="24"/>
          <w:lang w:val="de-DE"/>
        </w:rPr>
        <w:t xml:space="preserve"> </w:t>
      </w:r>
    </w:p>
    <w:p w14:paraId="7B62CAE5" w14:textId="664BDD69" w:rsidR="007A4878" w:rsidRDefault="007A4878" w:rsidP="007A4878">
      <w:pPr>
        <w:numPr>
          <w:ilvl w:val="0"/>
          <w:numId w:val="2"/>
        </w:numPr>
        <w:pBdr>
          <w:top w:val="nil"/>
          <w:left w:val="nil"/>
          <w:bottom w:val="nil"/>
          <w:right w:val="nil"/>
          <w:between w:val="nil"/>
        </w:pBdr>
        <w:spacing w:after="0"/>
        <w:rPr>
          <w:color w:val="000000"/>
          <w:sz w:val="24"/>
          <w:szCs w:val="24"/>
          <w:lang w:val="el-GR"/>
        </w:rPr>
      </w:pPr>
      <w:r>
        <w:rPr>
          <w:color w:val="000000"/>
          <w:sz w:val="24"/>
          <w:szCs w:val="24"/>
          <w:lang w:val="el-GR"/>
        </w:rPr>
        <w:t xml:space="preserve">Κύρια </w:t>
      </w:r>
      <w:r w:rsidR="002D4C68">
        <w:rPr>
          <w:color w:val="000000"/>
          <w:sz w:val="24"/>
          <w:szCs w:val="24"/>
          <w:lang w:val="el-GR"/>
        </w:rPr>
        <w:t>προβλήματα υγείας</w:t>
      </w:r>
      <w:r>
        <w:rPr>
          <w:color w:val="000000"/>
          <w:sz w:val="24"/>
          <w:szCs w:val="24"/>
          <w:lang w:val="el-GR"/>
        </w:rPr>
        <w:t xml:space="preserve"> κατά την άφιξη σε μία νέα χώρα</w:t>
      </w:r>
    </w:p>
    <w:p w14:paraId="6ABBC951" w14:textId="0A79B3F8" w:rsidR="007A4878" w:rsidRPr="00B827F8" w:rsidRDefault="007A4878" w:rsidP="007A4878">
      <w:pPr>
        <w:numPr>
          <w:ilvl w:val="0"/>
          <w:numId w:val="2"/>
        </w:numPr>
        <w:pBdr>
          <w:top w:val="nil"/>
          <w:left w:val="nil"/>
          <w:bottom w:val="nil"/>
          <w:right w:val="nil"/>
          <w:between w:val="nil"/>
        </w:pBdr>
        <w:spacing w:after="0"/>
        <w:rPr>
          <w:b/>
          <w:bCs/>
          <w:color w:val="000000"/>
          <w:sz w:val="24"/>
          <w:szCs w:val="24"/>
          <w:lang w:val="el-GR"/>
        </w:rPr>
      </w:pPr>
      <w:r w:rsidRPr="00B827F8">
        <w:rPr>
          <w:b/>
          <w:bCs/>
          <w:color w:val="000000"/>
          <w:sz w:val="24"/>
          <w:szCs w:val="24"/>
          <w:lang w:val="el-GR"/>
        </w:rPr>
        <w:t xml:space="preserve">Υπηρεσίες </w:t>
      </w:r>
      <w:r w:rsidR="002D4C68">
        <w:rPr>
          <w:b/>
          <w:bCs/>
          <w:color w:val="000000"/>
          <w:sz w:val="24"/>
          <w:szCs w:val="24"/>
          <w:lang w:val="el-GR"/>
        </w:rPr>
        <w:t>Υγειονομικής Περίθαλψης</w:t>
      </w:r>
    </w:p>
    <w:p w14:paraId="0FFAC81F" w14:textId="3781F925" w:rsidR="007A4878" w:rsidRDefault="002D4C68" w:rsidP="007A4878">
      <w:pPr>
        <w:numPr>
          <w:ilvl w:val="0"/>
          <w:numId w:val="2"/>
        </w:numPr>
        <w:pBdr>
          <w:top w:val="nil"/>
          <w:left w:val="nil"/>
          <w:bottom w:val="nil"/>
          <w:right w:val="nil"/>
          <w:between w:val="nil"/>
        </w:pBdr>
        <w:spacing w:after="0"/>
        <w:rPr>
          <w:color w:val="000000"/>
          <w:sz w:val="24"/>
          <w:szCs w:val="24"/>
          <w:lang w:val="el-GR"/>
        </w:rPr>
      </w:pPr>
      <w:r>
        <w:rPr>
          <w:color w:val="000000"/>
          <w:sz w:val="24"/>
          <w:szCs w:val="24"/>
          <w:lang w:val="el-GR"/>
        </w:rPr>
        <w:t>Γίνομαι</w:t>
      </w:r>
      <w:r w:rsidR="007A4878">
        <w:rPr>
          <w:color w:val="000000"/>
          <w:sz w:val="24"/>
          <w:szCs w:val="24"/>
          <w:lang w:val="el-GR"/>
        </w:rPr>
        <w:t xml:space="preserve"> ψηφιακά </w:t>
      </w:r>
      <w:r>
        <w:rPr>
          <w:color w:val="000000"/>
          <w:sz w:val="24"/>
          <w:szCs w:val="24"/>
          <w:lang w:val="el-GR"/>
        </w:rPr>
        <w:t>εγγράμματος</w:t>
      </w:r>
    </w:p>
    <w:p w14:paraId="5C65088F" w14:textId="77777777" w:rsidR="002D4C68" w:rsidRDefault="002D4C68" w:rsidP="007A4878">
      <w:pPr>
        <w:numPr>
          <w:ilvl w:val="0"/>
          <w:numId w:val="2"/>
        </w:numPr>
        <w:pBdr>
          <w:top w:val="nil"/>
          <w:left w:val="nil"/>
          <w:bottom w:val="nil"/>
          <w:right w:val="nil"/>
          <w:between w:val="nil"/>
        </w:pBdr>
        <w:spacing w:after="0"/>
        <w:rPr>
          <w:color w:val="000000"/>
          <w:sz w:val="24"/>
          <w:szCs w:val="24"/>
          <w:lang w:val="el-GR"/>
        </w:rPr>
      </w:pPr>
      <w:proofErr w:type="spellStart"/>
      <w:r w:rsidRPr="002D4C68">
        <w:rPr>
          <w:color w:val="000000"/>
          <w:sz w:val="24"/>
          <w:szCs w:val="24"/>
          <w:lang w:val="de-DE"/>
        </w:rPr>
        <w:t>Πλοήγηση</w:t>
      </w:r>
      <w:proofErr w:type="spellEnd"/>
      <w:r w:rsidRPr="002D4C68">
        <w:rPr>
          <w:color w:val="000000"/>
          <w:sz w:val="24"/>
          <w:szCs w:val="24"/>
          <w:lang w:val="de-DE"/>
        </w:rPr>
        <w:t xml:space="preserve"> </w:t>
      </w:r>
      <w:proofErr w:type="spellStart"/>
      <w:r w:rsidRPr="002D4C68">
        <w:rPr>
          <w:color w:val="000000"/>
          <w:sz w:val="24"/>
          <w:szCs w:val="24"/>
          <w:lang w:val="de-DE"/>
        </w:rPr>
        <w:t>στο</w:t>
      </w:r>
      <w:proofErr w:type="spellEnd"/>
      <w:r w:rsidRPr="002D4C68">
        <w:rPr>
          <w:color w:val="000000"/>
          <w:sz w:val="24"/>
          <w:szCs w:val="24"/>
          <w:lang w:val="de-DE"/>
        </w:rPr>
        <w:t xml:space="preserve"> </w:t>
      </w:r>
      <w:proofErr w:type="spellStart"/>
      <w:r w:rsidRPr="002D4C68">
        <w:rPr>
          <w:color w:val="000000"/>
          <w:sz w:val="24"/>
          <w:szCs w:val="24"/>
          <w:lang w:val="de-DE"/>
        </w:rPr>
        <w:t>Εθνικό</w:t>
      </w:r>
      <w:proofErr w:type="spellEnd"/>
      <w:r w:rsidRPr="002D4C68">
        <w:rPr>
          <w:color w:val="000000"/>
          <w:sz w:val="24"/>
          <w:szCs w:val="24"/>
          <w:lang w:val="de-DE"/>
        </w:rPr>
        <w:t xml:space="preserve"> </w:t>
      </w:r>
      <w:proofErr w:type="spellStart"/>
      <w:r w:rsidRPr="002D4C68">
        <w:rPr>
          <w:color w:val="000000"/>
          <w:sz w:val="24"/>
          <w:szCs w:val="24"/>
          <w:lang w:val="de-DE"/>
        </w:rPr>
        <w:t>Σύστημ</w:t>
      </w:r>
      <w:proofErr w:type="spellEnd"/>
      <w:r w:rsidRPr="002D4C68">
        <w:rPr>
          <w:color w:val="000000"/>
          <w:sz w:val="24"/>
          <w:szCs w:val="24"/>
          <w:lang w:val="de-DE"/>
        </w:rPr>
        <w:t xml:space="preserve">α </w:t>
      </w:r>
      <w:proofErr w:type="spellStart"/>
      <w:r w:rsidRPr="002D4C68">
        <w:rPr>
          <w:color w:val="000000"/>
          <w:sz w:val="24"/>
          <w:szCs w:val="24"/>
          <w:lang w:val="de-DE"/>
        </w:rPr>
        <w:t>Υγεί</w:t>
      </w:r>
      <w:proofErr w:type="spellEnd"/>
      <w:r w:rsidRPr="002D4C68">
        <w:rPr>
          <w:color w:val="000000"/>
          <w:sz w:val="24"/>
          <w:szCs w:val="24"/>
          <w:lang w:val="de-DE"/>
        </w:rPr>
        <w:t xml:space="preserve">ας </w:t>
      </w:r>
      <w:proofErr w:type="spellStart"/>
      <w:r w:rsidRPr="002D4C68">
        <w:rPr>
          <w:color w:val="000000"/>
          <w:sz w:val="24"/>
          <w:szCs w:val="24"/>
          <w:lang w:val="de-DE"/>
        </w:rPr>
        <w:t>μέσω</w:t>
      </w:r>
      <w:proofErr w:type="spellEnd"/>
      <w:r w:rsidRPr="002D4C68">
        <w:rPr>
          <w:color w:val="000000"/>
          <w:sz w:val="24"/>
          <w:szCs w:val="24"/>
          <w:lang w:val="de-DE"/>
        </w:rPr>
        <w:t xml:space="preserve"> </w:t>
      </w:r>
      <w:proofErr w:type="spellStart"/>
      <w:r w:rsidRPr="002D4C68">
        <w:rPr>
          <w:color w:val="000000"/>
          <w:sz w:val="24"/>
          <w:szCs w:val="24"/>
          <w:lang w:val="de-DE"/>
        </w:rPr>
        <w:t>του</w:t>
      </w:r>
      <w:proofErr w:type="spellEnd"/>
      <w:r w:rsidRPr="002D4C68">
        <w:rPr>
          <w:color w:val="000000"/>
          <w:sz w:val="24"/>
          <w:szCs w:val="24"/>
          <w:lang w:val="de-DE"/>
        </w:rPr>
        <w:t xml:space="preserve"> </w:t>
      </w:r>
      <w:proofErr w:type="spellStart"/>
      <w:r w:rsidRPr="002D4C68">
        <w:rPr>
          <w:color w:val="000000"/>
          <w:sz w:val="24"/>
          <w:szCs w:val="24"/>
          <w:lang w:val="de-DE"/>
        </w:rPr>
        <w:t>Δι</w:t>
      </w:r>
      <w:proofErr w:type="spellEnd"/>
      <w:r w:rsidRPr="002D4C68">
        <w:rPr>
          <w:color w:val="000000"/>
          <w:sz w:val="24"/>
          <w:szCs w:val="24"/>
          <w:lang w:val="de-DE"/>
        </w:rPr>
        <w:t>αδικτύου</w:t>
      </w:r>
    </w:p>
    <w:p w14:paraId="6C1B2A17" w14:textId="0A212ECA" w:rsidR="000B7E68" w:rsidRDefault="002D4C68" w:rsidP="007A4878">
      <w:pPr>
        <w:numPr>
          <w:ilvl w:val="0"/>
          <w:numId w:val="2"/>
        </w:numPr>
        <w:pBdr>
          <w:top w:val="nil"/>
          <w:left w:val="nil"/>
          <w:bottom w:val="nil"/>
          <w:right w:val="nil"/>
          <w:between w:val="nil"/>
        </w:pBdr>
        <w:spacing w:after="0"/>
        <w:rPr>
          <w:color w:val="000000"/>
          <w:sz w:val="24"/>
          <w:szCs w:val="24"/>
          <w:lang w:val="el-GR"/>
        </w:rPr>
      </w:pPr>
      <w:r>
        <w:rPr>
          <w:color w:val="000000"/>
          <w:sz w:val="24"/>
          <w:szCs w:val="24"/>
          <w:lang w:val="el-GR"/>
        </w:rPr>
        <w:t>Δραστηριότητα στο ψηφιακό περιβάλλον υγείας</w:t>
      </w:r>
    </w:p>
    <w:p w14:paraId="45513183" w14:textId="77777777" w:rsidR="00B453DA" w:rsidRPr="007A4878" w:rsidRDefault="00B453DA" w:rsidP="00B453DA">
      <w:pPr>
        <w:pBdr>
          <w:top w:val="nil"/>
          <w:left w:val="nil"/>
          <w:bottom w:val="nil"/>
          <w:right w:val="nil"/>
          <w:between w:val="nil"/>
        </w:pBdr>
        <w:spacing w:after="0"/>
        <w:ind w:left="720"/>
        <w:rPr>
          <w:color w:val="000000"/>
          <w:sz w:val="24"/>
          <w:szCs w:val="24"/>
          <w:lang w:val="el-GR"/>
        </w:rPr>
      </w:pPr>
    </w:p>
    <w:p w14:paraId="55B50CD0" w14:textId="0FF8526F" w:rsidR="007A4878" w:rsidRPr="00B453DA" w:rsidRDefault="000B7E68" w:rsidP="000A2DC1">
      <w:pPr>
        <w:rPr>
          <w:color w:val="000000"/>
          <w:sz w:val="24"/>
          <w:szCs w:val="24"/>
          <w:lang w:val="el-GR"/>
        </w:rPr>
      </w:pPr>
      <w:r>
        <w:rPr>
          <w:color w:val="000000"/>
          <w:sz w:val="24"/>
          <w:szCs w:val="24"/>
          <w:lang w:val="el-GR"/>
        </w:rPr>
        <w:t>Το</w:t>
      </w:r>
      <w:r w:rsidRPr="000B7E68">
        <w:rPr>
          <w:color w:val="000000"/>
          <w:sz w:val="24"/>
          <w:szCs w:val="24"/>
          <w:lang w:val="el-GR"/>
        </w:rPr>
        <w:t xml:space="preserve"> </w:t>
      </w:r>
      <w:r w:rsidR="002D4C68">
        <w:rPr>
          <w:color w:val="000000"/>
          <w:sz w:val="24"/>
          <w:szCs w:val="24"/>
          <w:lang w:val="el-GR"/>
        </w:rPr>
        <w:t>ε</w:t>
      </w:r>
      <w:r>
        <w:rPr>
          <w:color w:val="000000"/>
          <w:sz w:val="24"/>
          <w:szCs w:val="24"/>
          <w:lang w:val="el-GR"/>
        </w:rPr>
        <w:t>γχειρίδιο</w:t>
      </w:r>
      <w:r w:rsidRPr="000B7E68">
        <w:rPr>
          <w:color w:val="000000"/>
          <w:sz w:val="24"/>
          <w:szCs w:val="24"/>
          <w:lang w:val="el-GR"/>
        </w:rPr>
        <w:t xml:space="preserve"> </w:t>
      </w:r>
      <w:r>
        <w:rPr>
          <w:color w:val="000000"/>
          <w:sz w:val="24"/>
          <w:szCs w:val="24"/>
          <w:lang w:val="el-GR"/>
        </w:rPr>
        <w:t>απευθύνεται</w:t>
      </w:r>
      <w:r w:rsidRPr="000B7E68">
        <w:rPr>
          <w:color w:val="000000"/>
          <w:sz w:val="24"/>
          <w:szCs w:val="24"/>
          <w:lang w:val="el-GR"/>
        </w:rPr>
        <w:t xml:space="preserve"> </w:t>
      </w:r>
      <w:r>
        <w:rPr>
          <w:color w:val="000000"/>
          <w:sz w:val="24"/>
          <w:szCs w:val="24"/>
          <w:lang w:val="el-GR"/>
        </w:rPr>
        <w:t xml:space="preserve">ειδικά σε εκπαιδευτές </w:t>
      </w:r>
      <w:r w:rsidR="002D4C68">
        <w:rPr>
          <w:color w:val="000000"/>
          <w:sz w:val="24"/>
          <w:szCs w:val="24"/>
          <w:lang w:val="el-GR"/>
        </w:rPr>
        <w:t xml:space="preserve">και επαγγελματίες υποστήριξης </w:t>
      </w:r>
      <w:r>
        <w:rPr>
          <w:color w:val="000000"/>
          <w:sz w:val="24"/>
          <w:szCs w:val="24"/>
          <w:lang w:val="el-GR"/>
        </w:rPr>
        <w:t>(κοινωνικούς λειτουργούς, επαγγελματίες στο τομέα της υγείας κ.λ.π). Το</w:t>
      </w:r>
      <w:r w:rsidRPr="000B7E68">
        <w:rPr>
          <w:color w:val="000000"/>
          <w:sz w:val="24"/>
          <w:szCs w:val="24"/>
          <w:lang w:val="el-GR"/>
        </w:rPr>
        <w:t xml:space="preserve"> </w:t>
      </w:r>
      <w:r>
        <w:rPr>
          <w:color w:val="000000"/>
          <w:sz w:val="24"/>
          <w:szCs w:val="24"/>
          <w:lang w:val="el-GR"/>
        </w:rPr>
        <w:t>εγχειρίδιο</w:t>
      </w:r>
      <w:r w:rsidRPr="000B7E68">
        <w:rPr>
          <w:color w:val="000000"/>
          <w:sz w:val="24"/>
          <w:szCs w:val="24"/>
          <w:lang w:val="el-GR"/>
        </w:rPr>
        <w:t xml:space="preserve"> </w:t>
      </w:r>
      <w:r>
        <w:rPr>
          <w:color w:val="000000"/>
          <w:sz w:val="24"/>
          <w:szCs w:val="24"/>
          <w:lang w:val="el-GR"/>
        </w:rPr>
        <w:t>αποσκοπεί</w:t>
      </w:r>
      <w:r w:rsidRPr="000B7E68">
        <w:rPr>
          <w:color w:val="000000"/>
          <w:sz w:val="24"/>
          <w:szCs w:val="24"/>
          <w:lang w:val="el-GR"/>
        </w:rPr>
        <w:t xml:space="preserve"> </w:t>
      </w:r>
      <w:r>
        <w:rPr>
          <w:color w:val="000000"/>
          <w:sz w:val="24"/>
          <w:szCs w:val="24"/>
          <w:lang w:val="el-GR"/>
        </w:rPr>
        <w:t>στη</w:t>
      </w:r>
      <w:r w:rsidRPr="000B7E68">
        <w:rPr>
          <w:color w:val="000000"/>
          <w:sz w:val="24"/>
          <w:szCs w:val="24"/>
          <w:lang w:val="el-GR"/>
        </w:rPr>
        <w:t xml:space="preserve"> </w:t>
      </w:r>
      <w:r>
        <w:rPr>
          <w:color w:val="000000"/>
          <w:sz w:val="24"/>
          <w:szCs w:val="24"/>
          <w:lang w:val="el-GR"/>
        </w:rPr>
        <w:t>παροχή</w:t>
      </w:r>
      <w:r w:rsidRPr="000B7E68">
        <w:rPr>
          <w:color w:val="000000"/>
          <w:sz w:val="24"/>
          <w:szCs w:val="24"/>
          <w:lang w:val="el-GR"/>
        </w:rPr>
        <w:t xml:space="preserve"> </w:t>
      </w:r>
      <w:r>
        <w:rPr>
          <w:color w:val="000000"/>
          <w:sz w:val="24"/>
          <w:szCs w:val="24"/>
          <w:lang w:val="el-GR"/>
        </w:rPr>
        <w:t>βαθύτερης κατανόησης σχετικά με τα θέματα που συζητούνται στις εκπαιδευτικές συνεδρίες</w:t>
      </w:r>
      <w:r w:rsidR="00EB4364">
        <w:rPr>
          <w:color w:val="000000"/>
          <w:sz w:val="24"/>
          <w:szCs w:val="24"/>
          <w:lang w:val="el-GR"/>
        </w:rPr>
        <w:t xml:space="preserve">, ώστε το περιεχόμενο του εκπαιδευτικού υλικού να γίνει πιο σαφές </w:t>
      </w:r>
      <w:r w:rsidR="00B453DA">
        <w:rPr>
          <w:color w:val="000000"/>
          <w:sz w:val="24"/>
          <w:szCs w:val="24"/>
          <w:lang w:val="el-GR"/>
        </w:rPr>
        <w:t>για τον εκπαιδευτή. Το</w:t>
      </w:r>
      <w:r w:rsidR="00B453DA" w:rsidRPr="00B453DA">
        <w:rPr>
          <w:color w:val="000000"/>
          <w:sz w:val="24"/>
          <w:szCs w:val="24"/>
          <w:lang w:val="el-GR"/>
        </w:rPr>
        <w:t xml:space="preserve"> </w:t>
      </w:r>
      <w:r w:rsidR="00B453DA">
        <w:rPr>
          <w:color w:val="000000"/>
          <w:sz w:val="24"/>
          <w:szCs w:val="24"/>
          <w:lang w:val="el-GR"/>
        </w:rPr>
        <w:t>εγχειρίδιο</w:t>
      </w:r>
      <w:r w:rsidR="00B453DA" w:rsidRPr="00B453DA">
        <w:rPr>
          <w:color w:val="000000"/>
          <w:sz w:val="24"/>
          <w:szCs w:val="24"/>
          <w:lang w:val="el-GR"/>
        </w:rPr>
        <w:t xml:space="preserve"> </w:t>
      </w:r>
      <w:r w:rsidR="00B453DA">
        <w:rPr>
          <w:color w:val="000000"/>
          <w:sz w:val="24"/>
          <w:szCs w:val="24"/>
          <w:lang w:val="el-GR"/>
        </w:rPr>
        <w:t>βοηθάει</w:t>
      </w:r>
      <w:r w:rsidR="00B453DA" w:rsidRPr="00B453DA">
        <w:rPr>
          <w:color w:val="000000"/>
          <w:sz w:val="24"/>
          <w:szCs w:val="24"/>
          <w:lang w:val="el-GR"/>
        </w:rPr>
        <w:t xml:space="preserve"> </w:t>
      </w:r>
      <w:r w:rsidR="00B453DA">
        <w:rPr>
          <w:color w:val="000000"/>
          <w:sz w:val="24"/>
          <w:szCs w:val="24"/>
          <w:lang w:val="el-GR"/>
        </w:rPr>
        <w:t>επίσης</w:t>
      </w:r>
      <w:r w:rsidR="00B453DA" w:rsidRPr="00B453DA">
        <w:rPr>
          <w:color w:val="000000"/>
          <w:sz w:val="24"/>
          <w:szCs w:val="24"/>
          <w:lang w:val="el-GR"/>
        </w:rPr>
        <w:t xml:space="preserve"> </w:t>
      </w:r>
      <w:r w:rsidR="00B453DA">
        <w:rPr>
          <w:color w:val="000000"/>
          <w:sz w:val="24"/>
          <w:szCs w:val="24"/>
          <w:lang w:val="el-GR"/>
        </w:rPr>
        <w:t>τους</w:t>
      </w:r>
      <w:r w:rsidR="00B453DA" w:rsidRPr="00B453DA">
        <w:rPr>
          <w:color w:val="000000"/>
          <w:sz w:val="24"/>
          <w:szCs w:val="24"/>
          <w:lang w:val="el-GR"/>
        </w:rPr>
        <w:t xml:space="preserve"> </w:t>
      </w:r>
      <w:r w:rsidR="00B453DA">
        <w:rPr>
          <w:color w:val="000000"/>
          <w:sz w:val="24"/>
          <w:szCs w:val="24"/>
          <w:lang w:val="el-GR"/>
        </w:rPr>
        <w:t>εκπαιδευτές</w:t>
      </w:r>
      <w:r w:rsidR="00B453DA" w:rsidRPr="00B453DA">
        <w:rPr>
          <w:color w:val="000000"/>
          <w:sz w:val="24"/>
          <w:szCs w:val="24"/>
          <w:lang w:val="el-GR"/>
        </w:rPr>
        <w:t xml:space="preserve"> </w:t>
      </w:r>
      <w:r w:rsidR="00B453DA">
        <w:rPr>
          <w:color w:val="000000"/>
          <w:sz w:val="24"/>
          <w:szCs w:val="24"/>
          <w:lang w:val="el-GR"/>
        </w:rPr>
        <w:t>να</w:t>
      </w:r>
      <w:r w:rsidR="00B453DA" w:rsidRPr="00B453DA">
        <w:rPr>
          <w:color w:val="000000"/>
          <w:sz w:val="24"/>
          <w:szCs w:val="24"/>
          <w:lang w:val="el-GR"/>
        </w:rPr>
        <w:t xml:space="preserve"> </w:t>
      </w:r>
      <w:r w:rsidR="00B453DA">
        <w:rPr>
          <w:color w:val="000000"/>
          <w:sz w:val="24"/>
          <w:szCs w:val="24"/>
          <w:lang w:val="el-GR"/>
        </w:rPr>
        <w:t>είναι</w:t>
      </w:r>
      <w:r w:rsidR="00B453DA" w:rsidRPr="00B453DA">
        <w:rPr>
          <w:color w:val="000000"/>
          <w:sz w:val="24"/>
          <w:szCs w:val="24"/>
          <w:lang w:val="el-GR"/>
        </w:rPr>
        <w:t xml:space="preserve"> </w:t>
      </w:r>
      <w:r w:rsidR="00B453DA">
        <w:rPr>
          <w:color w:val="000000"/>
          <w:sz w:val="24"/>
          <w:szCs w:val="24"/>
          <w:lang w:val="el-GR"/>
        </w:rPr>
        <w:t>πιο</w:t>
      </w:r>
      <w:r w:rsidR="00B453DA" w:rsidRPr="00B453DA">
        <w:rPr>
          <w:color w:val="000000"/>
          <w:sz w:val="24"/>
          <w:szCs w:val="24"/>
          <w:lang w:val="el-GR"/>
        </w:rPr>
        <w:t xml:space="preserve"> </w:t>
      </w:r>
      <w:r w:rsidR="00B453DA">
        <w:rPr>
          <w:color w:val="000000"/>
          <w:sz w:val="24"/>
          <w:szCs w:val="24"/>
          <w:lang w:val="el-GR"/>
        </w:rPr>
        <w:t>προετοιμασμένοι για να απαντήσουν σε ερωτήσεις καθώς το περιεχόμενό του είναι πιο λεπτομερές από τις πληροφορίες του εκπαιδευτικού υλικού. Επομένως</w:t>
      </w:r>
      <w:r w:rsidR="00B453DA" w:rsidRPr="00B453DA">
        <w:rPr>
          <w:color w:val="000000"/>
          <w:sz w:val="24"/>
          <w:szCs w:val="24"/>
          <w:lang w:val="el-GR"/>
        </w:rPr>
        <w:t xml:space="preserve">, </w:t>
      </w:r>
      <w:r w:rsidR="00B453DA">
        <w:rPr>
          <w:color w:val="000000"/>
          <w:sz w:val="24"/>
          <w:szCs w:val="24"/>
          <w:lang w:val="el-GR"/>
        </w:rPr>
        <w:t>αυτό</w:t>
      </w:r>
      <w:r w:rsidR="00B453DA" w:rsidRPr="00B453DA">
        <w:rPr>
          <w:color w:val="000000"/>
          <w:sz w:val="24"/>
          <w:szCs w:val="24"/>
          <w:lang w:val="el-GR"/>
        </w:rPr>
        <w:t xml:space="preserve"> </w:t>
      </w:r>
      <w:r w:rsidR="00B453DA">
        <w:rPr>
          <w:color w:val="000000"/>
          <w:sz w:val="24"/>
          <w:szCs w:val="24"/>
          <w:lang w:val="el-GR"/>
        </w:rPr>
        <w:t>το</w:t>
      </w:r>
      <w:r w:rsidR="00B453DA" w:rsidRPr="00B453DA">
        <w:rPr>
          <w:color w:val="000000"/>
          <w:sz w:val="24"/>
          <w:szCs w:val="24"/>
          <w:lang w:val="el-GR"/>
        </w:rPr>
        <w:t xml:space="preserve"> </w:t>
      </w:r>
      <w:r w:rsidR="00B453DA">
        <w:rPr>
          <w:color w:val="000000"/>
          <w:sz w:val="24"/>
          <w:szCs w:val="24"/>
          <w:lang w:val="el-GR"/>
        </w:rPr>
        <w:t>εγχειρίδιο</w:t>
      </w:r>
      <w:r w:rsidR="00B453DA" w:rsidRPr="00B453DA">
        <w:rPr>
          <w:color w:val="000000"/>
          <w:sz w:val="24"/>
          <w:szCs w:val="24"/>
          <w:lang w:val="el-GR"/>
        </w:rPr>
        <w:t xml:space="preserve"> </w:t>
      </w:r>
      <w:r w:rsidR="00B453DA">
        <w:rPr>
          <w:color w:val="000000"/>
          <w:sz w:val="24"/>
          <w:szCs w:val="24"/>
          <w:lang w:val="el-GR"/>
        </w:rPr>
        <w:t>παρέχει</w:t>
      </w:r>
      <w:r w:rsidR="00B453DA" w:rsidRPr="00B453DA">
        <w:rPr>
          <w:color w:val="000000"/>
          <w:sz w:val="24"/>
          <w:szCs w:val="24"/>
          <w:lang w:val="el-GR"/>
        </w:rPr>
        <w:t xml:space="preserve"> </w:t>
      </w:r>
      <w:r w:rsidR="00B453DA">
        <w:rPr>
          <w:color w:val="000000"/>
          <w:sz w:val="24"/>
          <w:szCs w:val="24"/>
          <w:lang w:val="el-GR"/>
        </w:rPr>
        <w:t>πιο</w:t>
      </w:r>
      <w:r w:rsidR="00B453DA" w:rsidRPr="00B453DA">
        <w:rPr>
          <w:color w:val="000000"/>
          <w:sz w:val="24"/>
          <w:szCs w:val="24"/>
          <w:lang w:val="el-GR"/>
        </w:rPr>
        <w:t xml:space="preserve"> </w:t>
      </w:r>
      <w:r w:rsidR="00B453DA">
        <w:rPr>
          <w:color w:val="000000"/>
          <w:sz w:val="24"/>
          <w:szCs w:val="24"/>
          <w:lang w:val="el-GR"/>
        </w:rPr>
        <w:t>λεπτομερείς γνώσεις και συνδέσμους με πρόσθετους πόρους που σχετίζονται με το περιεχόμενο -κυρίως για τους εκπαιδευτές, αλλά και για άλλα άτομα που θα ήθελαν να μάθουν περισσότερα για τα θέματα που καλύπτονται στην εκπαίδευση που παρέχει το συγκεκριμένο πρόγραμμα.</w:t>
      </w:r>
    </w:p>
    <w:p w14:paraId="0306500A" w14:textId="74B19D54" w:rsidR="00164E4E" w:rsidRPr="00164E4E" w:rsidRDefault="00164E4E" w:rsidP="004E0D1F">
      <w:pPr>
        <w:rPr>
          <w:sz w:val="24"/>
          <w:szCs w:val="24"/>
          <w:lang w:val="el-GR"/>
        </w:rPr>
      </w:pPr>
      <w:r>
        <w:rPr>
          <w:sz w:val="24"/>
          <w:szCs w:val="24"/>
          <w:lang w:val="el-GR"/>
        </w:rPr>
        <w:t>Η δομή του εγχειριδίου συμβαδίζει με τη δομή του εκπαιδευτικού προγράμματος. Κάθε ενότητα καλύπτεται σε ένα κεφάλαιο περίπου 6 έως 8 σελίδων.</w:t>
      </w:r>
    </w:p>
    <w:p w14:paraId="2F632042" w14:textId="03D3DF86" w:rsidR="00426980" w:rsidRPr="00164E4E" w:rsidRDefault="00164E4E">
      <w:pPr>
        <w:rPr>
          <w:sz w:val="24"/>
          <w:szCs w:val="24"/>
          <w:lang w:val="el-GR"/>
        </w:rPr>
      </w:pPr>
      <w:r>
        <w:rPr>
          <w:sz w:val="24"/>
          <w:szCs w:val="24"/>
          <w:lang w:val="el-GR"/>
        </w:rPr>
        <w:t xml:space="preserve">Το συγκεκριμένο εγχειρίδιο περιέχει πληροφορίες σχετικά με την Ενότητα 3 </w:t>
      </w:r>
      <w:r w:rsidR="002D4C68">
        <w:rPr>
          <w:sz w:val="24"/>
          <w:szCs w:val="24"/>
          <w:lang w:val="el-GR"/>
        </w:rPr>
        <w:t>«</w:t>
      </w:r>
      <w:r>
        <w:rPr>
          <w:sz w:val="24"/>
          <w:szCs w:val="24"/>
          <w:lang w:val="el-GR"/>
        </w:rPr>
        <w:t xml:space="preserve">Υπηρεσίες </w:t>
      </w:r>
      <w:r w:rsidR="002D4C68">
        <w:rPr>
          <w:sz w:val="24"/>
          <w:szCs w:val="24"/>
          <w:lang w:val="el-GR"/>
        </w:rPr>
        <w:t>Υγειονομικής Περίθαλψης»</w:t>
      </w:r>
      <w:r>
        <w:rPr>
          <w:sz w:val="24"/>
          <w:szCs w:val="24"/>
          <w:lang w:val="el-GR"/>
        </w:rPr>
        <w:t xml:space="preserve"> που καλύπτου</w:t>
      </w:r>
      <w:r w:rsidR="00512FC0">
        <w:rPr>
          <w:sz w:val="24"/>
          <w:szCs w:val="24"/>
          <w:lang w:val="el-GR"/>
        </w:rPr>
        <w:t xml:space="preserve">ν </w:t>
      </w:r>
      <w:r>
        <w:rPr>
          <w:sz w:val="24"/>
          <w:szCs w:val="24"/>
          <w:lang w:val="el-GR"/>
        </w:rPr>
        <w:t xml:space="preserve">τις απαραίτητες θεωρητικές πληροφορίες για την υποστήριξη του περιεχομένου και των δραστηριοτήτων του </w:t>
      </w:r>
      <w:r>
        <w:rPr>
          <w:sz w:val="24"/>
          <w:szCs w:val="24"/>
        </w:rPr>
        <w:t>DPTA</w:t>
      </w:r>
      <w:r w:rsidRPr="00164E4E">
        <w:rPr>
          <w:sz w:val="24"/>
          <w:szCs w:val="24"/>
          <w:lang w:val="el-GR"/>
        </w:rPr>
        <w:t>_3.</w:t>
      </w:r>
      <w:r w:rsidR="004F7B96" w:rsidRPr="00164E4E">
        <w:rPr>
          <w:lang w:val="el-GR"/>
        </w:rPr>
        <w:br w:type="page"/>
      </w:r>
    </w:p>
    <w:p w14:paraId="08D95BB9" w14:textId="2FE493EF" w:rsidR="00426980" w:rsidRDefault="00F337C9">
      <w:pPr>
        <w:pStyle w:val="1"/>
        <w:numPr>
          <w:ilvl w:val="0"/>
          <w:numId w:val="5"/>
        </w:numPr>
        <w:rPr>
          <w:lang w:val="el-GR"/>
        </w:rPr>
      </w:pPr>
      <w:bookmarkStart w:id="2" w:name="_Toc109900519"/>
      <w:r>
        <w:rPr>
          <w:lang w:val="el-GR"/>
        </w:rPr>
        <w:lastRenderedPageBreak/>
        <w:t xml:space="preserve">Οργανισμός </w:t>
      </w:r>
      <w:r w:rsidR="0053767D">
        <w:rPr>
          <w:lang w:val="el-GR"/>
        </w:rPr>
        <w:t>Εθνικ</w:t>
      </w:r>
      <w:r>
        <w:rPr>
          <w:lang w:val="el-GR"/>
        </w:rPr>
        <w:t>ού</w:t>
      </w:r>
      <w:r w:rsidR="0053767D">
        <w:rPr>
          <w:lang w:val="el-GR"/>
        </w:rPr>
        <w:t xml:space="preserve"> Συστήματος Υγείας στην Ελλάδα</w:t>
      </w:r>
      <w:bookmarkEnd w:id="2"/>
    </w:p>
    <w:p w14:paraId="09D3E694" w14:textId="53A41CBF" w:rsidR="00002D9F" w:rsidRPr="002D4C68" w:rsidRDefault="00002D9F" w:rsidP="00C92770">
      <w:pPr>
        <w:rPr>
          <w:color w:val="000000"/>
          <w:sz w:val="24"/>
          <w:szCs w:val="24"/>
          <w:lang w:val="el-GR"/>
        </w:rPr>
      </w:pPr>
      <w:r w:rsidRPr="002D4C68">
        <w:rPr>
          <w:color w:val="000000"/>
          <w:sz w:val="24"/>
          <w:szCs w:val="24"/>
          <w:lang w:val="el-GR"/>
        </w:rPr>
        <w:t xml:space="preserve">Το Εθνικό Σύστημα Υγείας στην Ελλάδα χαρακτηρίζεται ως ένα μικτό σύστημα παροχής υπηρεσιών υγειονομικής περίθαλψης μέσω ενός δικτύου δημόσιων παρόχων και συμβεβλημένων ιδιωτικών παρόχων υγειονομικής περίθαλψης για πρωτοβάθμια, νοσοκομειακή και </w:t>
      </w:r>
      <w:r w:rsidR="002D4C68">
        <w:rPr>
          <w:color w:val="000000"/>
          <w:sz w:val="24"/>
          <w:szCs w:val="24"/>
          <w:lang w:val="el-GR"/>
        </w:rPr>
        <w:t>κινητή</w:t>
      </w:r>
      <w:r w:rsidRPr="002D4C68">
        <w:rPr>
          <w:color w:val="000000"/>
          <w:sz w:val="24"/>
          <w:szCs w:val="24"/>
          <w:lang w:val="el-GR"/>
        </w:rPr>
        <w:t xml:space="preserve"> φροντίδα. Οι υπηρεσίες δημόσιας υγειονομικής περίθαλψης παρέχονται δωρεάν ή με χαμηλό κόστος, σε κατοίκους που συνεισφέρουν οικονομικά στο σύστημα κοινωνικής ασφάλισης. Μετά το 2011, η κάλυψη της υγειονομικής περίθαλψης του γενικού πληθυσμού αναλήφθηκε από έναν μόνο φορέα και συγκεκριμένα τον Εθνικό Οργανισμό Παροχής Υπηρεσιών Υγείας (ΕΟΠΥΥ) που καλύπτει τους ασφαλισμένους (εργαζόμενους και συνταξιούχους) και τα εξαρτώμενα μέλη της οικογένειάς τους. Το δημόσιο σύστημα υγείας που παρέχεται μέσω των υπηρεσιών του ΕΟΠΥΥ περιλαμβάνει:</w:t>
      </w:r>
    </w:p>
    <w:p w14:paraId="017C2890" w14:textId="1DD58C16" w:rsidR="00002D9F" w:rsidRPr="00002D9F" w:rsidRDefault="00002D9F">
      <w:pPr>
        <w:numPr>
          <w:ilvl w:val="0"/>
          <w:numId w:val="1"/>
        </w:numPr>
        <w:pBdr>
          <w:top w:val="nil"/>
          <w:left w:val="nil"/>
          <w:bottom w:val="nil"/>
          <w:right w:val="nil"/>
          <w:between w:val="nil"/>
        </w:pBdr>
        <w:spacing w:after="0"/>
        <w:rPr>
          <w:color w:val="000000"/>
          <w:sz w:val="24"/>
          <w:szCs w:val="24"/>
          <w:lang w:val="el-GR"/>
        </w:rPr>
      </w:pPr>
      <w:r>
        <w:rPr>
          <w:color w:val="000000"/>
          <w:sz w:val="24"/>
          <w:szCs w:val="24"/>
          <w:lang w:val="el-GR"/>
        </w:rPr>
        <w:t>Εθνικά Νοσοκομεία (Εθνικό Σύστημα Υγείας- ΕΣΥ)</w:t>
      </w:r>
    </w:p>
    <w:p w14:paraId="16A19302" w14:textId="07D9D9A0" w:rsidR="00426980" w:rsidRDefault="00002D9F">
      <w:pPr>
        <w:numPr>
          <w:ilvl w:val="0"/>
          <w:numId w:val="1"/>
        </w:numPr>
        <w:pBdr>
          <w:top w:val="nil"/>
          <w:left w:val="nil"/>
          <w:bottom w:val="nil"/>
          <w:right w:val="nil"/>
          <w:between w:val="nil"/>
        </w:pBdr>
        <w:spacing w:after="0"/>
        <w:rPr>
          <w:color w:val="000000"/>
          <w:sz w:val="24"/>
          <w:szCs w:val="24"/>
        </w:rPr>
      </w:pPr>
      <w:r>
        <w:rPr>
          <w:color w:val="000000"/>
          <w:sz w:val="24"/>
          <w:szCs w:val="24"/>
          <w:lang w:val="el-GR"/>
        </w:rPr>
        <w:t>Κέντρα Υγείας ΕΣΥ</w:t>
      </w:r>
    </w:p>
    <w:p w14:paraId="4F916EFF" w14:textId="5D4D0104" w:rsidR="00426980" w:rsidRPr="00002D9F" w:rsidRDefault="00002D9F">
      <w:pPr>
        <w:numPr>
          <w:ilvl w:val="0"/>
          <w:numId w:val="1"/>
        </w:numPr>
        <w:pBdr>
          <w:top w:val="nil"/>
          <w:left w:val="nil"/>
          <w:bottom w:val="nil"/>
          <w:right w:val="nil"/>
          <w:between w:val="nil"/>
        </w:pBdr>
        <w:spacing w:after="0"/>
        <w:rPr>
          <w:color w:val="000000"/>
          <w:sz w:val="24"/>
          <w:szCs w:val="24"/>
        </w:rPr>
      </w:pPr>
      <w:r>
        <w:rPr>
          <w:color w:val="000000"/>
          <w:sz w:val="24"/>
          <w:szCs w:val="24"/>
          <w:lang w:val="el-GR"/>
        </w:rPr>
        <w:t>Τοπικές Μονάδες Υγείας</w:t>
      </w:r>
    </w:p>
    <w:p w14:paraId="199772D0" w14:textId="47DD712C" w:rsidR="00980414" w:rsidRPr="00980414" w:rsidRDefault="00002D9F" w:rsidP="00980414">
      <w:pPr>
        <w:numPr>
          <w:ilvl w:val="0"/>
          <w:numId w:val="1"/>
        </w:numPr>
        <w:pBdr>
          <w:top w:val="nil"/>
          <w:left w:val="nil"/>
          <w:bottom w:val="nil"/>
          <w:right w:val="nil"/>
          <w:between w:val="nil"/>
        </w:pBdr>
        <w:spacing w:after="0"/>
        <w:rPr>
          <w:color w:val="000000"/>
          <w:sz w:val="24"/>
          <w:szCs w:val="24"/>
          <w:lang w:val="el-GR"/>
        </w:rPr>
      </w:pPr>
      <w:r>
        <w:rPr>
          <w:color w:val="000000"/>
          <w:sz w:val="24"/>
          <w:szCs w:val="24"/>
          <w:lang w:val="el-GR"/>
        </w:rPr>
        <w:t>Ελεύθερους επαγγελματίες ιατρούς συμβεβλημένους με τον ΕΟΠΠΥ</w:t>
      </w:r>
    </w:p>
    <w:p w14:paraId="783A569E" w14:textId="59C7D20F" w:rsidR="00C92770" w:rsidRDefault="00980414" w:rsidP="00980414">
      <w:pPr>
        <w:rPr>
          <w:color w:val="000000"/>
          <w:sz w:val="24"/>
          <w:szCs w:val="24"/>
          <w:lang w:val="el-GR"/>
        </w:rPr>
      </w:pPr>
      <w:r>
        <w:rPr>
          <w:color w:val="000000"/>
          <w:sz w:val="24"/>
          <w:szCs w:val="24"/>
          <w:lang w:val="el-GR"/>
        </w:rPr>
        <w:t>Οι</w:t>
      </w:r>
      <w:r w:rsidRPr="00980414">
        <w:rPr>
          <w:color w:val="000000"/>
          <w:sz w:val="24"/>
          <w:szCs w:val="24"/>
          <w:lang w:val="el-GR"/>
        </w:rPr>
        <w:t xml:space="preserve"> </w:t>
      </w:r>
      <w:r>
        <w:rPr>
          <w:color w:val="000000"/>
          <w:sz w:val="24"/>
          <w:szCs w:val="24"/>
          <w:lang w:val="el-GR"/>
        </w:rPr>
        <w:t>ιδιωτικές</w:t>
      </w:r>
      <w:r w:rsidRPr="00980414">
        <w:rPr>
          <w:color w:val="000000"/>
          <w:sz w:val="24"/>
          <w:szCs w:val="24"/>
          <w:lang w:val="el-GR"/>
        </w:rPr>
        <w:t xml:space="preserve"> </w:t>
      </w:r>
      <w:r>
        <w:rPr>
          <w:color w:val="000000"/>
          <w:sz w:val="24"/>
          <w:szCs w:val="24"/>
          <w:lang w:val="el-GR"/>
        </w:rPr>
        <w:t>υπηρεσίες</w:t>
      </w:r>
      <w:r w:rsidRPr="00980414">
        <w:rPr>
          <w:color w:val="000000"/>
          <w:sz w:val="24"/>
          <w:szCs w:val="24"/>
          <w:lang w:val="el-GR"/>
        </w:rPr>
        <w:t xml:space="preserve"> </w:t>
      </w:r>
      <w:r w:rsidR="002D4C68">
        <w:rPr>
          <w:color w:val="000000"/>
          <w:sz w:val="24"/>
          <w:szCs w:val="24"/>
          <w:lang w:val="el-GR"/>
        </w:rPr>
        <w:t>υγειονομική</w:t>
      </w:r>
      <w:r>
        <w:rPr>
          <w:color w:val="000000"/>
          <w:sz w:val="24"/>
          <w:szCs w:val="24"/>
          <w:lang w:val="el-GR"/>
        </w:rPr>
        <w:t>ς περίθαλψης περιλαμβάνουν ελεύθερους επαγγελματίες γιατρούς, κλινικές και διαγνωστικά κέντρα.</w:t>
      </w:r>
    </w:p>
    <w:p w14:paraId="2B87330B" w14:textId="77777777" w:rsidR="00D71A06" w:rsidRDefault="00980414" w:rsidP="00D71A06">
      <w:pPr>
        <w:rPr>
          <w:color w:val="000000"/>
          <w:sz w:val="24"/>
          <w:szCs w:val="24"/>
          <w:lang w:val="el-GR"/>
        </w:rPr>
      </w:pPr>
      <w:r w:rsidRPr="00980414">
        <w:rPr>
          <w:color w:val="000000"/>
          <w:sz w:val="24"/>
          <w:szCs w:val="24"/>
          <w:lang w:val="el-GR"/>
        </w:rPr>
        <w:t>Από το 2014, την ευθύνη για την παροχή δημόσιας πρωτοβάθμιας/περιπατητικής φροντίδας έχουν τα Εθνικά Δίκτυα Πρωτοβάθμιας Φροντίδας Υγείας (ΠΕΔΥ) που συντονίζονται από τις Περιφερειακές Υγειονομικές Αρχές (ΥΠΕ). Συνολικά, την ευθύνη του Εθνικού Συστήματος Υγείας έχει το Ελληνικό Υπουργείο Υγείας, το οποίο είναι υπεύθυνο για τη διασφάλιση των γενικών στόχων και θεμελιωδών αρχών του ΕΣΥ, όπως η ελεύθερη και δίκαιη πρόσβαση σε ποιοτικές υπηρεσίες υγείας για όλους τους πολίτες.</w:t>
      </w:r>
    </w:p>
    <w:p w14:paraId="2866FA87" w14:textId="41AF35E7" w:rsidR="00426980" w:rsidRPr="003501C1" w:rsidRDefault="003501C1" w:rsidP="003501C1">
      <w:pPr>
        <w:pStyle w:val="2"/>
        <w:rPr>
          <w:lang w:val="el-GR"/>
        </w:rPr>
      </w:pPr>
      <w:bookmarkStart w:id="3" w:name="_Toc109900520"/>
      <w:r>
        <w:rPr>
          <w:lang w:val="el-GR"/>
        </w:rPr>
        <w:t xml:space="preserve">1.1 </w:t>
      </w:r>
      <w:r w:rsidR="00207DDE" w:rsidRPr="003501C1">
        <w:rPr>
          <w:lang w:val="el-GR"/>
        </w:rPr>
        <w:t>Εθνική Ασφάλιση Υγείας</w:t>
      </w:r>
      <w:bookmarkEnd w:id="3"/>
    </w:p>
    <w:p w14:paraId="1EE88AA3" w14:textId="76840A23" w:rsidR="00D71A06" w:rsidRPr="00D71A06" w:rsidRDefault="00D71A06" w:rsidP="00D71A06">
      <w:pPr>
        <w:rPr>
          <w:color w:val="000000"/>
          <w:sz w:val="24"/>
          <w:szCs w:val="24"/>
          <w:lang w:val="el-GR"/>
        </w:rPr>
      </w:pPr>
      <w:r w:rsidRPr="00D71A06">
        <w:rPr>
          <w:color w:val="000000"/>
          <w:sz w:val="24"/>
          <w:szCs w:val="24"/>
          <w:lang w:val="el-GR"/>
        </w:rPr>
        <w:t xml:space="preserve">Γενικά, η επιλογή του ασθενούς αναφέρεται στην επιλογή του ασφαλιστή, στην επιλογή του παρόχου και στην επιλογή της θεραπείας. Στην Ελλάδα, τα άτομα δεν έχουν επιλογή ασφαλιστή </w:t>
      </w:r>
      <w:r w:rsidR="002D4C68">
        <w:rPr>
          <w:color w:val="000000"/>
          <w:sz w:val="24"/>
          <w:szCs w:val="24"/>
          <w:lang w:val="el-GR"/>
        </w:rPr>
        <w:t>καθώ</w:t>
      </w:r>
      <w:r w:rsidRPr="00D71A06">
        <w:rPr>
          <w:color w:val="000000"/>
          <w:sz w:val="24"/>
          <w:szCs w:val="24"/>
          <w:lang w:val="el-GR"/>
        </w:rPr>
        <w:t xml:space="preserve">ς </w:t>
      </w:r>
      <w:r w:rsidR="002D4C68">
        <w:rPr>
          <w:color w:val="000000"/>
          <w:sz w:val="24"/>
          <w:szCs w:val="24"/>
          <w:lang w:val="el-GR"/>
        </w:rPr>
        <w:t>η κοινωνική ασφάλιση υγείας</w:t>
      </w:r>
      <w:r w:rsidRPr="00D71A06">
        <w:rPr>
          <w:color w:val="000000"/>
          <w:sz w:val="24"/>
          <w:szCs w:val="24"/>
          <w:lang w:val="el-GR"/>
        </w:rPr>
        <w:t xml:space="preserve"> είναι υποχρεωτική για όλο τον απασχολούμενο πληθυσμό που είναι ασφαλισμένος στον ΕΟΠΥΥ. Ωστόσο, υπάρχει μεγάλος βαθμός επιλογής όσον αφορά τους παρόχους υγείας. Οι ασθενείς μπορούν να λαμβάνουν </w:t>
      </w:r>
      <w:r w:rsidRPr="00D71A06">
        <w:rPr>
          <w:color w:val="000000"/>
          <w:sz w:val="24"/>
          <w:szCs w:val="24"/>
          <w:lang w:val="el-GR"/>
        </w:rPr>
        <w:lastRenderedPageBreak/>
        <w:t xml:space="preserve">υπηρεσίες σε οποιαδήποτε μονάδα πρωτοβάθμιας φροντίδας υγείας του ΠΕΔΥ (και στους συμβεβλημένους παρόχους τους) ή στα εξωτερικά ιατρεία των δημόσιων νοσοκομείων που παρέχουν </w:t>
      </w:r>
      <w:r w:rsidR="002D4C68">
        <w:rPr>
          <w:color w:val="000000"/>
          <w:sz w:val="24"/>
          <w:szCs w:val="24"/>
          <w:lang w:val="el-GR"/>
        </w:rPr>
        <w:t>κινητή</w:t>
      </w:r>
      <w:r w:rsidRPr="00D71A06">
        <w:rPr>
          <w:color w:val="000000"/>
          <w:sz w:val="24"/>
          <w:szCs w:val="24"/>
          <w:lang w:val="el-GR"/>
        </w:rPr>
        <w:t xml:space="preserve"> φροντίδα.</w:t>
      </w:r>
    </w:p>
    <w:p w14:paraId="23526C64" w14:textId="77777777" w:rsidR="00426980" w:rsidRDefault="004F7B96">
      <w:pPr>
        <w:jc w:val="center"/>
        <w:rPr>
          <w:color w:val="000000"/>
          <w:sz w:val="24"/>
          <w:szCs w:val="24"/>
        </w:rPr>
      </w:pPr>
      <w:r>
        <w:rPr>
          <w:noProof/>
          <w:lang w:val="el-GR" w:eastAsia="el-GR"/>
        </w:rPr>
        <w:drawing>
          <wp:inline distT="0" distB="0" distL="0" distR="0" wp14:anchorId="652E03ED" wp14:editId="315984F9">
            <wp:extent cx="2869465" cy="4098845"/>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l="40179" t="25574" r="36671" b="15636"/>
                    <a:stretch>
                      <a:fillRect/>
                    </a:stretch>
                  </pic:blipFill>
                  <pic:spPr>
                    <a:xfrm>
                      <a:off x="0" y="0"/>
                      <a:ext cx="2869465" cy="4098845"/>
                    </a:xfrm>
                    <a:prstGeom prst="rect">
                      <a:avLst/>
                    </a:prstGeom>
                    <a:ln/>
                  </pic:spPr>
                </pic:pic>
              </a:graphicData>
            </a:graphic>
          </wp:inline>
        </w:drawing>
      </w:r>
    </w:p>
    <w:p w14:paraId="62DB0CD1" w14:textId="77777777" w:rsidR="00D71A06" w:rsidRDefault="00D71A06">
      <w:pPr>
        <w:rPr>
          <w:color w:val="000000"/>
          <w:sz w:val="24"/>
          <w:szCs w:val="24"/>
          <w:lang w:val="el-GR"/>
        </w:rPr>
      </w:pPr>
      <w:r w:rsidRPr="00D71A06">
        <w:rPr>
          <w:color w:val="000000"/>
          <w:sz w:val="24"/>
          <w:szCs w:val="24"/>
          <w:lang w:val="el-GR"/>
        </w:rPr>
        <w:t>Ο ΕΟΠΠΥ ελέγχει ένα ενιαίο ταμείο ασφάλισης υγείας και αγοράζει χρηματοδοτούμενες υπηρεσίες υγείας που παρέχονται από το Εθνικό Σύστημα Υγείας. Επιπλέον, ο ΕΟΠΠΥ συνάπτει συμβάσεις με ιδιωτικές υπηρεσίες υγείας, ως επί το πλείστον για την παροχή πρωτοβάθμιας και εξωνοσοκομειακής περίθαλψης παράλληλα με διαγνωστικές υπηρεσίες.</w:t>
      </w:r>
    </w:p>
    <w:p w14:paraId="1A2F94AF" w14:textId="190FA8F7" w:rsidR="00D71A06" w:rsidRPr="002D4C68" w:rsidRDefault="00D71A06">
      <w:pPr>
        <w:rPr>
          <w:color w:val="000000"/>
          <w:sz w:val="24"/>
          <w:szCs w:val="24"/>
          <w:lang w:val="el-GR"/>
        </w:rPr>
      </w:pPr>
      <w:r w:rsidRPr="00D71A06">
        <w:rPr>
          <w:color w:val="000000"/>
          <w:sz w:val="24"/>
          <w:szCs w:val="24"/>
          <w:lang w:val="el-GR"/>
        </w:rPr>
        <w:t xml:space="preserve">Υπεύθυνος φορέας για την Ελληνική Εθνική Ασφάλιση Υγείας είναι ο Ενιαίος Φορέας Κοινωνικής Ασφάλισης (ΕΦΚΑ), όπου όλοι οι εργαζόμενοι </w:t>
      </w:r>
      <w:r>
        <w:rPr>
          <w:color w:val="000000"/>
          <w:sz w:val="24"/>
          <w:szCs w:val="24"/>
          <w:lang w:val="el-GR"/>
        </w:rPr>
        <w:t>συνεισφέρουν στη</w:t>
      </w:r>
      <w:r w:rsidRPr="00D71A06">
        <w:rPr>
          <w:color w:val="000000"/>
          <w:sz w:val="24"/>
          <w:szCs w:val="24"/>
          <w:lang w:val="el-GR"/>
        </w:rPr>
        <w:t xml:space="preserve"> κοινωνική ασφάλιση (συμπεριλαμβανομένης της ασφάλισης υγείας). </w:t>
      </w:r>
      <w:r w:rsidRPr="002D4C68">
        <w:rPr>
          <w:color w:val="000000"/>
          <w:sz w:val="24"/>
          <w:szCs w:val="24"/>
          <w:lang w:val="el-GR"/>
        </w:rPr>
        <w:t>Η ασφάλιση υγείας αφορά μισθωτούς, συνταξιούχους και εξαρτώμενα μέλη της οικογένειάς τους.</w:t>
      </w:r>
    </w:p>
    <w:p w14:paraId="346B325C" w14:textId="77777777" w:rsidR="005D321B" w:rsidRDefault="005D321B" w:rsidP="00F03013">
      <w:pPr>
        <w:pBdr>
          <w:top w:val="nil"/>
          <w:left w:val="nil"/>
          <w:bottom w:val="nil"/>
          <w:right w:val="nil"/>
          <w:between w:val="nil"/>
        </w:pBdr>
        <w:spacing w:after="0"/>
        <w:rPr>
          <w:color w:val="000000"/>
          <w:sz w:val="24"/>
          <w:szCs w:val="24"/>
          <w:lang w:val="el-GR"/>
        </w:rPr>
      </w:pPr>
      <w:r w:rsidRPr="005D321B">
        <w:rPr>
          <w:color w:val="000000"/>
          <w:sz w:val="24"/>
          <w:szCs w:val="24"/>
          <w:lang w:val="el-GR"/>
        </w:rPr>
        <w:t xml:space="preserve">Για να αποκτήσετε πρόσβαση στις υπηρεσίες Εθνικής Ασφάλισης Υγείας, πρέπει να εκδώσετε κάρτα κοινωνικής ασφάλισης με ατομικό μοναδικό αριθμό (γνωστός ως ΑΜΚΑ) ή </w:t>
      </w:r>
      <w:r w:rsidRPr="005D321B">
        <w:rPr>
          <w:color w:val="000000"/>
          <w:sz w:val="24"/>
          <w:szCs w:val="24"/>
          <w:lang w:val="el-GR"/>
        </w:rPr>
        <w:lastRenderedPageBreak/>
        <w:t xml:space="preserve">προσωρινό αριθμό κοινωνικής ασφάλισης (γνωστός ως </w:t>
      </w:r>
      <w:r>
        <w:rPr>
          <w:color w:val="000000"/>
          <w:sz w:val="24"/>
          <w:szCs w:val="24"/>
          <w:lang w:val="el-GR"/>
        </w:rPr>
        <w:t>ΠΑΑΥΠΑ</w:t>
      </w:r>
      <w:r w:rsidRPr="005D321B">
        <w:rPr>
          <w:color w:val="000000"/>
          <w:sz w:val="24"/>
          <w:szCs w:val="24"/>
          <w:lang w:val="el-GR"/>
        </w:rPr>
        <w:t>) για αιτούντες άσυλο (που τους επιτρέπει επίσης να εργαστούν). Ως εκ τούτου, οι ακόλουθες δωρεάν υπηρεσίες προσφέρονται από το Δημόσιο Σύστημα Υγείας στους κατόχους ΑΜΚΑ ή ΠΑΑΥΠΑ:</w:t>
      </w:r>
    </w:p>
    <w:p w14:paraId="12369ADC" w14:textId="7A0EF18F" w:rsidR="005D321B" w:rsidRDefault="005D321B">
      <w:pPr>
        <w:numPr>
          <w:ilvl w:val="0"/>
          <w:numId w:val="6"/>
        </w:numPr>
        <w:pBdr>
          <w:top w:val="nil"/>
          <w:left w:val="nil"/>
          <w:bottom w:val="nil"/>
          <w:right w:val="nil"/>
          <w:between w:val="nil"/>
        </w:pBdr>
        <w:spacing w:after="0"/>
        <w:rPr>
          <w:color w:val="000000"/>
          <w:sz w:val="24"/>
          <w:szCs w:val="24"/>
          <w:lang w:val="el-GR"/>
        </w:rPr>
      </w:pPr>
      <w:r w:rsidRPr="005D321B">
        <w:rPr>
          <w:color w:val="000000"/>
          <w:sz w:val="24"/>
          <w:szCs w:val="24"/>
          <w:lang w:val="el-GR"/>
        </w:rPr>
        <w:t xml:space="preserve"> Υπηρεσίες υγειονομικής περίθαλψης στον τομέα της προληπτικής ιατρικής για την προαγωγή και την πρόληψη της υγείας</w:t>
      </w:r>
    </w:p>
    <w:p w14:paraId="29374A88" w14:textId="77777777" w:rsidR="00B36C83" w:rsidRDefault="005D321B">
      <w:pPr>
        <w:numPr>
          <w:ilvl w:val="0"/>
          <w:numId w:val="6"/>
        </w:numPr>
        <w:pBdr>
          <w:top w:val="nil"/>
          <w:left w:val="nil"/>
          <w:bottom w:val="nil"/>
          <w:right w:val="nil"/>
          <w:between w:val="nil"/>
        </w:pBdr>
        <w:spacing w:after="0"/>
        <w:rPr>
          <w:color w:val="000000"/>
          <w:sz w:val="24"/>
          <w:szCs w:val="24"/>
          <w:lang w:val="el-GR"/>
        </w:rPr>
      </w:pPr>
      <w:r w:rsidRPr="005D321B">
        <w:rPr>
          <w:color w:val="000000"/>
          <w:sz w:val="24"/>
          <w:szCs w:val="24"/>
          <w:lang w:val="el-GR"/>
        </w:rPr>
        <w:t>Κλινικές εξετάσεις, προσυμπτωματικός έλεγχος, παροχή φαρμάκου/θεραπείας</w:t>
      </w:r>
    </w:p>
    <w:p w14:paraId="7FE087A1" w14:textId="530EA00A" w:rsidR="00426980" w:rsidRPr="005D321B" w:rsidRDefault="00B36C83">
      <w:pPr>
        <w:numPr>
          <w:ilvl w:val="0"/>
          <w:numId w:val="6"/>
        </w:numPr>
        <w:pBdr>
          <w:top w:val="nil"/>
          <w:left w:val="nil"/>
          <w:bottom w:val="nil"/>
          <w:right w:val="nil"/>
          <w:between w:val="nil"/>
        </w:pBdr>
        <w:spacing w:after="0"/>
        <w:rPr>
          <w:color w:val="000000"/>
          <w:sz w:val="24"/>
          <w:szCs w:val="24"/>
          <w:lang w:val="el-GR"/>
        </w:rPr>
      </w:pPr>
      <w:r>
        <w:rPr>
          <w:color w:val="000000"/>
          <w:sz w:val="24"/>
          <w:szCs w:val="24"/>
          <w:lang w:val="el-GR"/>
        </w:rPr>
        <w:t>Οδοντιατρική υγειονομική περίθαλψη</w:t>
      </w:r>
    </w:p>
    <w:p w14:paraId="3301D1BC" w14:textId="77777777" w:rsidR="005D321B" w:rsidRPr="005D321B" w:rsidRDefault="005D321B">
      <w:pPr>
        <w:numPr>
          <w:ilvl w:val="0"/>
          <w:numId w:val="6"/>
        </w:numPr>
        <w:pBdr>
          <w:top w:val="nil"/>
          <w:left w:val="nil"/>
          <w:bottom w:val="nil"/>
          <w:right w:val="nil"/>
          <w:between w:val="nil"/>
        </w:pBdr>
        <w:spacing w:after="0"/>
        <w:rPr>
          <w:color w:val="000000"/>
          <w:sz w:val="24"/>
          <w:szCs w:val="24"/>
          <w:lang w:val="el-GR"/>
        </w:rPr>
      </w:pPr>
      <w:r w:rsidRPr="005D321B">
        <w:rPr>
          <w:color w:val="000000"/>
          <w:sz w:val="24"/>
          <w:szCs w:val="24"/>
          <w:lang w:val="el-GR"/>
        </w:rPr>
        <w:t>Παροχή εξωνοσοκομειακής ιατρικής περίθαλψης για χρόνιες παθήσεις</w:t>
      </w:r>
    </w:p>
    <w:p w14:paraId="2CDB27F8" w14:textId="77777777" w:rsidR="005D321B" w:rsidRDefault="005D321B">
      <w:pPr>
        <w:numPr>
          <w:ilvl w:val="0"/>
          <w:numId w:val="6"/>
        </w:numPr>
        <w:pBdr>
          <w:top w:val="nil"/>
          <w:left w:val="nil"/>
          <w:bottom w:val="nil"/>
          <w:right w:val="nil"/>
          <w:between w:val="nil"/>
        </w:pBdr>
        <w:spacing w:after="0"/>
        <w:rPr>
          <w:color w:val="000000"/>
          <w:sz w:val="24"/>
          <w:szCs w:val="24"/>
          <w:lang w:val="el-GR"/>
        </w:rPr>
      </w:pPr>
      <w:r w:rsidRPr="005D321B">
        <w:rPr>
          <w:color w:val="000000"/>
          <w:sz w:val="24"/>
          <w:szCs w:val="24"/>
          <w:lang w:val="el-GR"/>
        </w:rPr>
        <w:t xml:space="preserve">Υπηρεσίες αποκατάστασης, όπως φυσιοθεραπεία, λογοθεραπεία, εργοθεραπεία, ψυχοθεραπεία και ειδική αγωγή </w:t>
      </w:r>
    </w:p>
    <w:p w14:paraId="445F1E13" w14:textId="77777777" w:rsidR="005D321B" w:rsidRDefault="005D321B">
      <w:pPr>
        <w:numPr>
          <w:ilvl w:val="0"/>
          <w:numId w:val="6"/>
        </w:numPr>
        <w:pBdr>
          <w:top w:val="nil"/>
          <w:left w:val="nil"/>
          <w:bottom w:val="nil"/>
          <w:right w:val="nil"/>
          <w:between w:val="nil"/>
        </w:pBdr>
        <w:spacing w:after="0"/>
        <w:rPr>
          <w:color w:val="000000"/>
          <w:sz w:val="24"/>
          <w:szCs w:val="24"/>
          <w:lang w:val="el-GR"/>
        </w:rPr>
      </w:pPr>
      <w:r w:rsidRPr="005D321B">
        <w:rPr>
          <w:color w:val="000000"/>
          <w:sz w:val="24"/>
          <w:szCs w:val="24"/>
          <w:lang w:val="el-GR"/>
        </w:rPr>
        <w:t>Ιατρική μεταφορά με πλωτά, εναέρια ή μηχανοκίνητα οχήματα των υπηρεσιών ασθενοφόρου</w:t>
      </w:r>
    </w:p>
    <w:p w14:paraId="5E4B5703" w14:textId="581C6A53" w:rsidR="005D321B" w:rsidRDefault="005D321B">
      <w:pPr>
        <w:numPr>
          <w:ilvl w:val="0"/>
          <w:numId w:val="6"/>
        </w:numPr>
        <w:pBdr>
          <w:top w:val="nil"/>
          <w:left w:val="nil"/>
          <w:bottom w:val="nil"/>
          <w:right w:val="nil"/>
          <w:between w:val="nil"/>
        </w:pBdr>
        <w:rPr>
          <w:color w:val="000000"/>
          <w:sz w:val="24"/>
          <w:szCs w:val="24"/>
          <w:lang w:val="el-GR"/>
        </w:rPr>
      </w:pPr>
      <w:r w:rsidRPr="005D321B">
        <w:rPr>
          <w:color w:val="000000"/>
          <w:sz w:val="24"/>
          <w:szCs w:val="24"/>
          <w:lang w:val="el-GR"/>
        </w:rPr>
        <w:t>Παροχή φαρμακευτικών προϊόντων σε ορισμένες περιπτώσεις</w:t>
      </w:r>
    </w:p>
    <w:p w14:paraId="5527CB51" w14:textId="03FDD5BD" w:rsidR="005D321B" w:rsidRPr="005D321B" w:rsidRDefault="005D321B">
      <w:pPr>
        <w:numPr>
          <w:ilvl w:val="0"/>
          <w:numId w:val="6"/>
        </w:numPr>
        <w:pBdr>
          <w:top w:val="nil"/>
          <w:left w:val="nil"/>
          <w:bottom w:val="nil"/>
          <w:right w:val="nil"/>
          <w:between w:val="nil"/>
        </w:pBdr>
        <w:rPr>
          <w:color w:val="000000"/>
          <w:sz w:val="24"/>
          <w:szCs w:val="24"/>
          <w:lang w:val="el-GR"/>
        </w:rPr>
      </w:pPr>
      <w:r w:rsidRPr="005D321B">
        <w:rPr>
          <w:color w:val="000000"/>
          <w:sz w:val="24"/>
          <w:szCs w:val="24"/>
          <w:lang w:val="el-GR"/>
        </w:rPr>
        <w:t>Ένταξη στη θεραπεία αιμοκάθαρσης για ασθενείς με νεφροπάθεια τελικού σταδίου</w:t>
      </w:r>
    </w:p>
    <w:p w14:paraId="4803E67C" w14:textId="3BFD78BF" w:rsidR="00426980" w:rsidRPr="005D321B" w:rsidRDefault="004F7B96">
      <w:pPr>
        <w:jc w:val="center"/>
        <w:rPr>
          <w:color w:val="000000"/>
          <w:sz w:val="24"/>
          <w:szCs w:val="24"/>
          <w:lang w:val="el-GR"/>
        </w:rPr>
      </w:pPr>
      <w:r>
        <w:rPr>
          <w:noProof/>
          <w:lang w:val="el-GR" w:eastAsia="el-GR"/>
        </w:rPr>
        <w:drawing>
          <wp:inline distT="0" distB="0" distL="0" distR="0" wp14:anchorId="524F112F" wp14:editId="3E5311EA">
            <wp:extent cx="4001254" cy="4661837"/>
            <wp:effectExtent l="0" t="0" r="0" b="0"/>
            <wp:docPr id="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2"/>
                    <a:srcRect l="39517" t="24691" r="25429" b="2704"/>
                    <a:stretch>
                      <a:fillRect/>
                    </a:stretch>
                  </pic:blipFill>
                  <pic:spPr>
                    <a:xfrm rot="5400000">
                      <a:off x="0" y="0"/>
                      <a:ext cx="4001254" cy="4661837"/>
                    </a:xfrm>
                    <a:prstGeom prst="rect">
                      <a:avLst/>
                    </a:prstGeom>
                    <a:ln/>
                  </pic:spPr>
                </pic:pic>
              </a:graphicData>
            </a:graphic>
          </wp:inline>
        </w:drawing>
      </w:r>
    </w:p>
    <w:p w14:paraId="58ADFE9C" w14:textId="7804F39A" w:rsidR="00426980" w:rsidRPr="000A07A7" w:rsidRDefault="004F7B96">
      <w:pPr>
        <w:pStyle w:val="2"/>
        <w:rPr>
          <w:color w:val="000000"/>
          <w:lang w:val="el-GR"/>
        </w:rPr>
      </w:pPr>
      <w:bookmarkStart w:id="4" w:name="_Toc109900521"/>
      <w:r w:rsidRPr="000A07A7">
        <w:rPr>
          <w:lang w:val="el-GR"/>
        </w:rPr>
        <w:lastRenderedPageBreak/>
        <w:t xml:space="preserve">1.2 </w:t>
      </w:r>
      <w:r w:rsidR="000A07A7">
        <w:rPr>
          <w:lang w:val="el-GR"/>
        </w:rPr>
        <w:t>Πρόσβαση στο Σύστημα Υγείας</w:t>
      </w:r>
      <w:bookmarkEnd w:id="4"/>
    </w:p>
    <w:p w14:paraId="5E18B8B2" w14:textId="755BF664" w:rsidR="00426980" w:rsidRPr="000A07A7" w:rsidRDefault="000A07A7">
      <w:pPr>
        <w:rPr>
          <w:color w:val="000000"/>
          <w:sz w:val="24"/>
          <w:szCs w:val="24"/>
          <w:lang w:val="el-GR"/>
        </w:rPr>
      </w:pPr>
      <w:r w:rsidRPr="000A07A7">
        <w:rPr>
          <w:color w:val="000000"/>
          <w:sz w:val="24"/>
          <w:szCs w:val="24"/>
          <w:lang w:val="el-GR"/>
        </w:rPr>
        <w:t>Η πρόσβαση στο δημόσιο σύστημα υγείας είναι δωρεάν όταν παρέχεται από τα δημόσια ιδρύματα υγείας. Οποιοσδήποτε έχει αριθμό ΑΜΚΑ/ΠΑΑΥΠΑ μπορεί να έχει πρόσβαση στο δημόσιο σύστημα υγείας για να κανονίσει ένα ραντεβού. Τα Τμήματα Επειγόντων Περιστατικών είναι προσβάσιμα σε οποιονδήποτε (ανεξαρτήτως κοινωνικής ασφάλισης).</w:t>
      </w:r>
    </w:p>
    <w:p w14:paraId="75727295" w14:textId="52B5AB5D" w:rsidR="00426980" w:rsidRPr="008D054F" w:rsidRDefault="008D054F">
      <w:pPr>
        <w:pStyle w:val="1"/>
        <w:numPr>
          <w:ilvl w:val="0"/>
          <w:numId w:val="5"/>
        </w:numPr>
        <w:rPr>
          <w:lang w:val="el-GR"/>
        </w:rPr>
      </w:pPr>
      <w:bookmarkStart w:id="5" w:name="_Toc109900522"/>
      <w:r>
        <w:rPr>
          <w:lang w:val="el-GR"/>
        </w:rPr>
        <w:t>Υγειονομική περίθαλψη μεταναστών στην Ελλάδα</w:t>
      </w:r>
      <w:bookmarkEnd w:id="5"/>
    </w:p>
    <w:p w14:paraId="42A2A9E0" w14:textId="77777777" w:rsidR="00426980" w:rsidRPr="008D054F" w:rsidRDefault="00426980">
      <w:pPr>
        <w:rPr>
          <w:lang w:val="el-GR"/>
        </w:rPr>
      </w:pPr>
    </w:p>
    <w:p w14:paraId="751A3A6D" w14:textId="6114F516" w:rsidR="00370155" w:rsidRPr="00370155" w:rsidRDefault="00370155">
      <w:pPr>
        <w:rPr>
          <w:sz w:val="24"/>
          <w:szCs w:val="24"/>
          <w:lang w:val="el-GR"/>
        </w:rPr>
      </w:pPr>
      <w:r w:rsidRPr="00370155">
        <w:rPr>
          <w:sz w:val="24"/>
          <w:szCs w:val="24"/>
          <w:lang w:val="el-GR"/>
        </w:rPr>
        <w:t>Η νομοθεσία του Ελληνικού Εθνικού Συστήματος Υγείας σχετικά με τους μετανάστες/πρόσφυγες αλλάζει συνεχώς ακολουθώντας τις ανάγκες του συνεχώς αυξανόμενου αριθμού μεταναστών και προσφύγων που φτάνουν στην Ελλάδα.</w:t>
      </w:r>
    </w:p>
    <w:p w14:paraId="50C143F9" w14:textId="77777777" w:rsidR="002D63D6" w:rsidRDefault="002D63D6">
      <w:pPr>
        <w:rPr>
          <w:sz w:val="24"/>
          <w:szCs w:val="24"/>
          <w:lang w:val="el-GR"/>
        </w:rPr>
      </w:pPr>
      <w:r w:rsidRPr="002D63D6">
        <w:rPr>
          <w:sz w:val="24"/>
          <w:szCs w:val="24"/>
          <w:lang w:val="el-GR"/>
        </w:rPr>
        <w:t>Στην Ελλάδα, ο καθένας στον οποίο χορηγείται καθεστώς διεθνούς προστασίας έχει δικαίωμα ελεύθερης πρόσβασης στην πρωτοβάθμια, δευτεροβάθμια και τριτοβάθμια φροντίδα υγείας. Ωστόσο, σε περίπτωση έκτακτης ανάγκης, που απαιτεί άμεση και επείγουσα ιατρική φροντίδα, δικαίωμα πρόσβασης στα Τμήματα Επειγόντων Περιστατικών των νοσοκομείων έχουν όλα τα άτομα ανεξαρτήτως κοινωνικής ασφάλισης ή νομικής κατάστασης.</w:t>
      </w:r>
    </w:p>
    <w:p w14:paraId="6E936993" w14:textId="6334C435" w:rsidR="002D5EE6" w:rsidRPr="0085492C" w:rsidRDefault="002D63D6">
      <w:pPr>
        <w:rPr>
          <w:bCs/>
          <w:sz w:val="24"/>
          <w:szCs w:val="24"/>
          <w:lang w:val="el-GR"/>
        </w:rPr>
      </w:pPr>
      <w:r w:rsidRPr="002D63D6">
        <w:rPr>
          <w:b/>
          <w:sz w:val="24"/>
          <w:szCs w:val="24"/>
          <w:lang w:val="el-GR"/>
        </w:rPr>
        <w:t>Για αιτούντες άσυλο</w:t>
      </w:r>
      <w:r w:rsidRPr="002D63D6">
        <w:rPr>
          <w:bCs/>
          <w:sz w:val="24"/>
          <w:szCs w:val="24"/>
          <w:lang w:val="el-GR"/>
        </w:rPr>
        <w:t>: Το 2020 με κοινή απόφαση των Υπουργείων Μετανάστευσης και Ασύλου, Παι</w:t>
      </w:r>
      <w:r w:rsidR="003501C1">
        <w:rPr>
          <w:bCs/>
          <w:sz w:val="24"/>
          <w:szCs w:val="24"/>
          <w:lang w:val="el-GR"/>
        </w:rPr>
        <w:t xml:space="preserve">δείας και Θρησκευμάτων, Υγείας </w:t>
      </w:r>
      <w:r w:rsidRPr="002D63D6">
        <w:rPr>
          <w:bCs/>
          <w:sz w:val="24"/>
          <w:szCs w:val="24"/>
          <w:lang w:val="el-GR"/>
        </w:rPr>
        <w:t xml:space="preserve">και Εργασίας και Κοινωνικών Υποθέσεων, εισήχθη νέος Προσωρινός Αριθμός Ασφάλισης και </w:t>
      </w:r>
      <w:r w:rsidR="003501C1">
        <w:rPr>
          <w:bCs/>
          <w:sz w:val="24"/>
          <w:szCs w:val="24"/>
          <w:lang w:val="el-GR"/>
        </w:rPr>
        <w:t>Υγειονομικής Περίθαλψης</w:t>
      </w:r>
      <w:r w:rsidRPr="002D63D6">
        <w:rPr>
          <w:bCs/>
          <w:sz w:val="24"/>
          <w:szCs w:val="24"/>
          <w:lang w:val="el-GR"/>
        </w:rPr>
        <w:t xml:space="preserve"> Αλλοδαπών (ΠΑ</w:t>
      </w:r>
      <w:r w:rsidR="003501C1">
        <w:rPr>
          <w:bCs/>
          <w:sz w:val="24"/>
          <w:szCs w:val="24"/>
          <w:lang w:val="el-GR"/>
        </w:rPr>
        <w:t>Α</w:t>
      </w:r>
      <w:r w:rsidRPr="002D63D6">
        <w:rPr>
          <w:bCs/>
          <w:sz w:val="24"/>
          <w:szCs w:val="24"/>
          <w:lang w:val="el-GR"/>
        </w:rPr>
        <w:t>ΥΠΑ), που αντικαθιστά τον πρ</w:t>
      </w:r>
      <w:r w:rsidR="003501C1">
        <w:rPr>
          <w:bCs/>
          <w:sz w:val="24"/>
          <w:szCs w:val="24"/>
          <w:lang w:val="el-GR"/>
        </w:rPr>
        <w:t>οηγούμενο Κοινωνικό</w:t>
      </w:r>
      <w:r w:rsidRPr="002D63D6">
        <w:rPr>
          <w:bCs/>
          <w:sz w:val="24"/>
          <w:szCs w:val="24"/>
          <w:lang w:val="el-GR"/>
        </w:rPr>
        <w:t xml:space="preserve"> Αριθμός </w:t>
      </w:r>
      <w:proofErr w:type="spellStart"/>
      <w:r w:rsidR="003501C1">
        <w:rPr>
          <w:bCs/>
          <w:sz w:val="24"/>
          <w:szCs w:val="24"/>
          <w:lang w:val="el-GR"/>
        </w:rPr>
        <w:t>Ασφαλισης</w:t>
      </w:r>
      <w:proofErr w:type="spellEnd"/>
      <w:r w:rsidRPr="002D63D6">
        <w:rPr>
          <w:bCs/>
          <w:sz w:val="24"/>
          <w:szCs w:val="24"/>
          <w:lang w:val="el-GR"/>
        </w:rPr>
        <w:t xml:space="preserve"> (ΑΜΚΑ). Το </w:t>
      </w:r>
      <w:r w:rsidR="003501C1">
        <w:rPr>
          <w:bCs/>
          <w:sz w:val="24"/>
          <w:szCs w:val="24"/>
          <w:lang w:val="el-GR"/>
        </w:rPr>
        <w:t>ΠΑΑΥΠΑ</w:t>
      </w:r>
      <w:r w:rsidRPr="002D63D6">
        <w:rPr>
          <w:bCs/>
          <w:sz w:val="24"/>
          <w:szCs w:val="24"/>
          <w:lang w:val="el-GR"/>
        </w:rPr>
        <w:t xml:space="preserve"> εκδίδεται στους αιτούντες άσυλο μαζί με την κάρτα του αιτούντος άσυλο. Επιπρόσθετα, ο κάτοχος του ΠΑΑΥΠΑ έχει δικαίωμα πρόσβασης στην αγορά εργασίας, σύμφωνα με τα άρθρα 53 και 55 του ν. 4636/2019 (Α’169). Το </w:t>
      </w:r>
      <w:r w:rsidR="003501C1">
        <w:rPr>
          <w:bCs/>
          <w:sz w:val="24"/>
          <w:szCs w:val="24"/>
          <w:lang w:val="el-GR"/>
        </w:rPr>
        <w:t>ΠΑΑΥΠΑ</w:t>
      </w:r>
      <w:r w:rsidRPr="002D63D6">
        <w:rPr>
          <w:bCs/>
          <w:sz w:val="24"/>
          <w:szCs w:val="24"/>
          <w:lang w:val="el-GR"/>
        </w:rPr>
        <w:t xml:space="preserve"> απενεργοποιείται εάν η αίτηση ασύλου απορριφθεί. Η υγειονομική περίθαλψη για όσους εκδίδουν </w:t>
      </w:r>
      <w:r w:rsidR="002D5EE6">
        <w:rPr>
          <w:bCs/>
          <w:sz w:val="24"/>
          <w:szCs w:val="24"/>
          <w:lang w:val="el-GR"/>
        </w:rPr>
        <w:t>ΠΑΑΥΠΑ</w:t>
      </w:r>
      <w:r w:rsidRPr="002D63D6">
        <w:rPr>
          <w:bCs/>
          <w:sz w:val="24"/>
          <w:szCs w:val="24"/>
          <w:lang w:val="el-GR"/>
        </w:rPr>
        <w:t xml:space="preserve"> περιλαμβάνει δωρεάν πρόσβαση στην απαραίτητη υγειονομική, φαρμακευτική και νοσοκομειακή περίθαλψη, συμπεριλαμβανομένης της απαραίτητης ψυχιατρικής περίθαλψης όπου χρειάζεται. </w:t>
      </w:r>
      <w:r w:rsidRPr="0085492C">
        <w:rPr>
          <w:bCs/>
          <w:sz w:val="24"/>
          <w:szCs w:val="24"/>
          <w:lang w:val="el-GR"/>
        </w:rPr>
        <w:t xml:space="preserve">Πιο συγκεκριμένα, οι κάτοχοι </w:t>
      </w:r>
      <w:r w:rsidR="003A3D00">
        <w:rPr>
          <w:bCs/>
          <w:sz w:val="24"/>
          <w:szCs w:val="24"/>
          <w:lang w:val="el-GR"/>
        </w:rPr>
        <w:t>ΠΑΑΥΠΑ</w:t>
      </w:r>
      <w:r w:rsidRPr="0085492C">
        <w:rPr>
          <w:bCs/>
          <w:sz w:val="24"/>
          <w:szCs w:val="24"/>
          <w:lang w:val="el-GR"/>
        </w:rPr>
        <w:t xml:space="preserve"> μπορούν να έχουν πρόσβαση</w:t>
      </w:r>
      <w:r w:rsidR="0085492C">
        <w:rPr>
          <w:bCs/>
          <w:sz w:val="24"/>
          <w:szCs w:val="24"/>
          <w:lang w:val="el-GR"/>
        </w:rPr>
        <w:t xml:space="preserve"> σε</w:t>
      </w:r>
      <w:r w:rsidRPr="0085492C">
        <w:rPr>
          <w:bCs/>
          <w:sz w:val="24"/>
          <w:szCs w:val="24"/>
          <w:lang w:val="el-GR"/>
        </w:rPr>
        <w:t>:</w:t>
      </w:r>
    </w:p>
    <w:p w14:paraId="63FE9980" w14:textId="6E285A1D" w:rsidR="00426980" w:rsidRPr="00C55A99" w:rsidRDefault="000E14C7">
      <w:pPr>
        <w:rPr>
          <w:bCs/>
          <w:sz w:val="24"/>
          <w:szCs w:val="24"/>
          <w:lang w:val="el-GR"/>
        </w:rPr>
      </w:pPr>
      <w:r>
        <w:rPr>
          <w:bCs/>
          <w:sz w:val="24"/>
          <w:szCs w:val="24"/>
          <w:lang w:val="el-GR"/>
        </w:rPr>
        <w:lastRenderedPageBreak/>
        <w:t>α</w:t>
      </w:r>
      <w:r w:rsidR="004F7B96" w:rsidRPr="00C55A99">
        <w:rPr>
          <w:bCs/>
          <w:sz w:val="24"/>
          <w:szCs w:val="24"/>
          <w:lang w:val="el-GR"/>
        </w:rPr>
        <w:t xml:space="preserve">) </w:t>
      </w:r>
      <w:r w:rsidR="00C55A99" w:rsidRPr="00C55A99">
        <w:rPr>
          <w:bCs/>
          <w:sz w:val="24"/>
          <w:szCs w:val="24"/>
          <w:lang w:val="el-GR"/>
        </w:rPr>
        <w:t>κλινικές και ιατρικές εξετάσεις σε δημόσια νοσοκομεία, κέντρα υγείας ή περιφερειακά ιατρικά κέντρα</w:t>
      </w:r>
    </w:p>
    <w:p w14:paraId="3953BEE8" w14:textId="70A6F1FD" w:rsidR="00426980" w:rsidRPr="00C55A99" w:rsidRDefault="000E14C7">
      <w:pPr>
        <w:rPr>
          <w:sz w:val="24"/>
          <w:szCs w:val="24"/>
          <w:lang w:val="el-GR"/>
        </w:rPr>
      </w:pPr>
      <w:r>
        <w:rPr>
          <w:sz w:val="24"/>
          <w:szCs w:val="24"/>
          <w:lang w:val="el-GR"/>
        </w:rPr>
        <w:t>β</w:t>
      </w:r>
      <w:r w:rsidR="004F7B96" w:rsidRPr="00C55A99">
        <w:rPr>
          <w:sz w:val="24"/>
          <w:szCs w:val="24"/>
          <w:lang w:val="el-GR"/>
        </w:rPr>
        <w:t xml:space="preserve">) </w:t>
      </w:r>
      <w:r w:rsidR="00C55A99" w:rsidRPr="00C55A99">
        <w:rPr>
          <w:sz w:val="24"/>
          <w:szCs w:val="24"/>
          <w:lang w:val="el-GR"/>
        </w:rPr>
        <w:t>φαρμακευτική αγωγή που παρέχεται κατόπιν συνταγής - αν και έχουν αναφερθεί προβλήματα σχετικά με την αγορά φαρμάκων με την ΠΑΑΥΠΑ</w:t>
      </w:r>
    </w:p>
    <w:p w14:paraId="5CCFAA56" w14:textId="0CCB0B2E" w:rsidR="00426980" w:rsidRPr="00C55A99" w:rsidRDefault="000E14C7">
      <w:pPr>
        <w:rPr>
          <w:sz w:val="24"/>
          <w:szCs w:val="24"/>
          <w:lang w:val="el-GR"/>
        </w:rPr>
      </w:pPr>
      <w:r>
        <w:rPr>
          <w:sz w:val="24"/>
          <w:szCs w:val="24"/>
          <w:lang w:val="el-GR"/>
        </w:rPr>
        <w:t>γ</w:t>
      </w:r>
      <w:r w:rsidR="004F7B96" w:rsidRPr="00C55A99">
        <w:rPr>
          <w:sz w:val="24"/>
          <w:szCs w:val="24"/>
          <w:lang w:val="el-GR"/>
        </w:rPr>
        <w:t xml:space="preserve">) </w:t>
      </w:r>
      <w:r w:rsidR="00C55A99" w:rsidRPr="00C55A99">
        <w:rPr>
          <w:sz w:val="24"/>
          <w:szCs w:val="24"/>
          <w:lang w:val="el-GR"/>
        </w:rPr>
        <w:t>νοσοκομειακή βοήθεια στα δημόσια νοσοκομεία</w:t>
      </w:r>
    </w:p>
    <w:p w14:paraId="0D426700" w14:textId="202769B0" w:rsidR="007076A8" w:rsidRDefault="007076A8">
      <w:pPr>
        <w:rPr>
          <w:bCs/>
          <w:color w:val="000000"/>
          <w:sz w:val="24"/>
          <w:szCs w:val="24"/>
          <w:lang w:val="el-GR"/>
        </w:rPr>
      </w:pPr>
      <w:r w:rsidRPr="007076A8">
        <w:rPr>
          <w:b/>
          <w:color w:val="000000"/>
          <w:sz w:val="24"/>
          <w:szCs w:val="24"/>
          <w:lang w:val="el-GR"/>
        </w:rPr>
        <w:t xml:space="preserve">Για μη αιτούντες άσυλο: </w:t>
      </w:r>
      <w:r w:rsidRPr="007076A8">
        <w:rPr>
          <w:bCs/>
          <w:color w:val="000000"/>
          <w:sz w:val="24"/>
          <w:szCs w:val="24"/>
          <w:lang w:val="el-GR"/>
        </w:rPr>
        <w:t>Για άτομα που δεν είναι αιτούντες άσυλο και δεν τους έχει χορηγηθεί διεθνής προστασία, επομένως δεν μπορούν να εκδώσουν ΠΑΥΠΑ, το άρθρο 33 του Ν. 4368/2016 προβλέπει δωρεάν πρόσβαση σε δημόσιες υπηρεσίες υγείας, σύμφωνα με τις ακόλουθες διατάξεις. Το άρθρο 33 του ν. 4368/2016 προβλέπει δωρεάν πρόσβαση στις δημόσιες ιατρονοσηλευτικές υπηρεσίες σε άτομα χωρίς κοινωνική ασφάλιση (χωρίς ΑΜΚΑ ή ΠΑΑΥΠΑ) και με ευάλωτα άτομα (έγκυες, παιδιά, χρόνια αν</w:t>
      </w:r>
      <w:r>
        <w:rPr>
          <w:bCs/>
          <w:color w:val="000000"/>
          <w:sz w:val="24"/>
          <w:szCs w:val="24"/>
          <w:lang w:val="el-GR"/>
        </w:rPr>
        <w:t>άπηρους,</w:t>
      </w:r>
      <w:r w:rsidRPr="007076A8">
        <w:rPr>
          <w:bCs/>
          <w:color w:val="000000"/>
          <w:sz w:val="24"/>
          <w:szCs w:val="24"/>
          <w:lang w:val="el-GR"/>
        </w:rPr>
        <w:t xml:space="preserve"> ψυχικά ασθενείς, κρατούμενους), που δικαιούνται την Κάρτα </w:t>
      </w:r>
      <w:r w:rsidR="003501C1">
        <w:rPr>
          <w:bCs/>
          <w:color w:val="000000"/>
          <w:sz w:val="24"/>
          <w:szCs w:val="24"/>
          <w:lang w:val="el-GR"/>
        </w:rPr>
        <w:t xml:space="preserve">Υγειονομικής Περίθαλψης </w:t>
      </w:r>
      <w:r w:rsidRPr="007076A8">
        <w:rPr>
          <w:bCs/>
          <w:color w:val="000000"/>
          <w:sz w:val="24"/>
          <w:szCs w:val="24"/>
          <w:lang w:val="el-GR"/>
        </w:rPr>
        <w:t>Αλλοδαπών (ΚΥΠΑ).</w:t>
      </w:r>
    </w:p>
    <w:p w14:paraId="4649245F" w14:textId="7040D42D" w:rsidR="00B40F23" w:rsidRDefault="00B40F23">
      <w:pPr>
        <w:rPr>
          <w:color w:val="000000"/>
          <w:sz w:val="24"/>
          <w:szCs w:val="24"/>
          <w:lang w:val="el-GR"/>
        </w:rPr>
      </w:pPr>
      <w:r w:rsidRPr="00B40F23">
        <w:rPr>
          <w:color w:val="000000"/>
          <w:sz w:val="24"/>
          <w:szCs w:val="24"/>
          <w:lang w:val="el-GR"/>
        </w:rPr>
        <w:t xml:space="preserve">Επιπλέον, σύμφωνα με την κοινή υπουργική απόφαση 2981/2021, οι παράτυποι και οι απάτριδες στην Ελλάδα χωρίς αριθμό κοινωνικής ασφάλισης (ΑΜΚΑ ή ΠΑΑΥΠΑ) μπορούν να αποκτήσουν προσωρινό αριθμό κοινωνικής ασφάλισης (ΠΑΜΚΑ). </w:t>
      </w:r>
      <w:r w:rsidR="003501C1">
        <w:rPr>
          <w:color w:val="000000"/>
          <w:sz w:val="24"/>
          <w:szCs w:val="24"/>
          <w:lang w:val="el-GR"/>
        </w:rPr>
        <w:t>Το</w:t>
      </w:r>
      <w:r w:rsidRPr="00B40F23">
        <w:rPr>
          <w:color w:val="000000"/>
          <w:sz w:val="24"/>
          <w:szCs w:val="24"/>
          <w:lang w:val="el-GR"/>
        </w:rPr>
        <w:t xml:space="preserve"> ΠΑΜΚΑ προσφέρει αποκλειστικά πρόσβαση στο Εθνικό Πρόγραμμα Εμβολιασμού για τον </w:t>
      </w:r>
      <w:r w:rsidRPr="00B40F23">
        <w:rPr>
          <w:color w:val="000000"/>
          <w:sz w:val="24"/>
          <w:szCs w:val="24"/>
        </w:rPr>
        <w:t>COVID</w:t>
      </w:r>
      <w:r w:rsidRPr="00B40F23">
        <w:rPr>
          <w:color w:val="000000"/>
          <w:sz w:val="24"/>
          <w:szCs w:val="24"/>
          <w:lang w:val="el-GR"/>
        </w:rPr>
        <w:t>-19, όσον αφορά τον προγραμματισμό ημερομηνίας εμβολιασμού, την ολοκλήρωση της δόσης εμβολιασμού και την έκδοση πιστοποιητικού εμβολιασμού.</w:t>
      </w:r>
    </w:p>
    <w:p w14:paraId="6BC9EFCB" w14:textId="77777777" w:rsidR="00B40F23" w:rsidRPr="002D4C68" w:rsidRDefault="00B40F23">
      <w:pPr>
        <w:rPr>
          <w:b/>
          <w:sz w:val="24"/>
          <w:szCs w:val="24"/>
          <w:lang w:val="el-GR"/>
        </w:rPr>
      </w:pPr>
      <w:r w:rsidRPr="00B40F23">
        <w:rPr>
          <w:b/>
          <w:sz w:val="24"/>
          <w:szCs w:val="24"/>
          <w:lang w:val="el-GR"/>
        </w:rPr>
        <w:t xml:space="preserve">Για μετανάστες/πρόσφυγες με άδεια παραμονής: </w:t>
      </w:r>
      <w:r w:rsidRPr="00B40F23">
        <w:rPr>
          <w:bCs/>
          <w:sz w:val="24"/>
          <w:szCs w:val="24"/>
          <w:lang w:val="el-GR"/>
        </w:rPr>
        <w:t xml:space="preserve">Όπως αναφέρθηκε παραπάνω, η </w:t>
      </w:r>
      <w:r w:rsidRPr="00B40F23">
        <w:rPr>
          <w:bCs/>
          <w:sz w:val="24"/>
          <w:szCs w:val="24"/>
        </w:rPr>
        <w:t>PAAYPA</w:t>
      </w:r>
      <w:r w:rsidRPr="00B40F23">
        <w:rPr>
          <w:bCs/>
          <w:sz w:val="24"/>
          <w:szCs w:val="24"/>
          <w:lang w:val="el-GR"/>
        </w:rPr>
        <w:t xml:space="preserve"> είναι ενεργή για όσο διάστημα είναι ενεργοποιημένη η διεθνής κάρτα αιτούντος άσυλο. Όταν χορηγείται άδεια διαμονής, η ΠΑΑΥΠΑ απενεργοποιείται και μετατρέπεται σε ΑΜΚΑ εντός περίπου ενός μηνός. </w:t>
      </w:r>
      <w:r w:rsidRPr="002D4C68">
        <w:rPr>
          <w:bCs/>
          <w:sz w:val="24"/>
          <w:szCs w:val="24"/>
          <w:lang w:val="el-GR"/>
        </w:rPr>
        <w:t>Κατά την απόκτηση ΑΜΚΑ, οι μετανάστες/πρόσφυγες με άδεια παραμονής έχουν τα ίδια δικαιώματα και πρόσβαση σε υπηρεσίες με τους μόνιμους κατοίκους της Ελλάδας.</w:t>
      </w:r>
    </w:p>
    <w:p w14:paraId="036F1DBE" w14:textId="405DD5DF" w:rsidR="00D334AB" w:rsidRDefault="00D334AB" w:rsidP="002D4C68">
      <w:pPr>
        <w:rPr>
          <w:lang w:val="el-GR"/>
        </w:rPr>
      </w:pPr>
      <w:r w:rsidRPr="002D4C68">
        <w:rPr>
          <w:bCs/>
          <w:sz w:val="24"/>
          <w:szCs w:val="24"/>
          <w:lang w:val="el-GR"/>
        </w:rPr>
        <w:t>Επιπλέον, ένας αριθμός Μη Κυβερνητικών Οργανώσεων (ΜΚΟ) και δημοτικών οργανώσεων</w:t>
      </w:r>
      <w:r w:rsidR="00855872" w:rsidRPr="002D4C68">
        <w:rPr>
          <w:bCs/>
          <w:sz w:val="24"/>
          <w:szCs w:val="24"/>
          <w:lang w:val="el-GR"/>
        </w:rPr>
        <w:t xml:space="preserve"> </w:t>
      </w:r>
      <w:r w:rsidRPr="002D4C68">
        <w:rPr>
          <w:bCs/>
          <w:sz w:val="24"/>
          <w:szCs w:val="24"/>
          <w:lang w:val="el-GR"/>
        </w:rPr>
        <w:t xml:space="preserve">εμπλέκονται επίσης στην παροχή άμεσης υγειονομικής περίθαλψης σε μετανάστες/πρόσφυγες (π.χ. υπηρεσίες υγείας που προσφέρονται από Γιατρούς Χωρίς </w:t>
      </w:r>
      <w:r w:rsidRPr="002D4C68">
        <w:rPr>
          <w:bCs/>
          <w:sz w:val="24"/>
          <w:szCs w:val="24"/>
          <w:lang w:val="el-GR"/>
        </w:rPr>
        <w:lastRenderedPageBreak/>
        <w:t xml:space="preserve">Σύνορα, Γιατροί του κόσμου) με τη δημιουργία μονάδων υγειονομικής περίθαλψης για να φτάσει σε αυτούς τους πληθυσμούς. Ορισμένοι από αυτούς τους οργανισμούς, όπως οι Γιατροί του Κόσμου, οι Γιατροί Χωρίς Σύνορα, </w:t>
      </w:r>
      <w:r w:rsidR="000E44AC">
        <w:rPr>
          <w:bCs/>
          <w:sz w:val="24"/>
          <w:szCs w:val="24"/>
          <w:lang w:val="el-GR"/>
        </w:rPr>
        <w:t xml:space="preserve">η </w:t>
      </w:r>
      <w:proofErr w:type="spellStart"/>
      <w:r w:rsidR="000E44AC">
        <w:rPr>
          <w:bCs/>
          <w:sz w:val="24"/>
          <w:szCs w:val="24"/>
          <w:lang w:val="en-US"/>
        </w:rPr>
        <w:t>Praksis</w:t>
      </w:r>
      <w:proofErr w:type="spellEnd"/>
      <w:r w:rsidRPr="002D4C68">
        <w:rPr>
          <w:bCs/>
          <w:sz w:val="24"/>
          <w:szCs w:val="24"/>
          <w:lang w:val="el-GR"/>
        </w:rPr>
        <w:t>, ο Ερυθρός Σταυρός και το Ταμείο των Ηνωμένων Εθνών για τα Παιδιά, είναι πολύ ενεργοί και επιδρούν στην κοινωνία, στα πολιτικά κόμματα και στην κυβέρνηση, καταφέρνοντας να προσελκύσουν αρκετά σημαντική χρηματοδότηση και δωρεές. Συνήθως κατανέμουν τους πόρους τους σε προγράμματα πρωτοβάθμιας/</w:t>
      </w:r>
      <w:r w:rsidR="000E44AC">
        <w:rPr>
          <w:bCs/>
          <w:sz w:val="24"/>
          <w:szCs w:val="24"/>
          <w:lang w:val="el-GR"/>
        </w:rPr>
        <w:t>κινητής</w:t>
      </w:r>
      <w:r w:rsidRPr="002D4C68">
        <w:rPr>
          <w:bCs/>
          <w:sz w:val="24"/>
          <w:szCs w:val="24"/>
          <w:lang w:val="el-GR"/>
        </w:rPr>
        <w:t xml:space="preserve"> και προληπτικής υγείας και πρόνοιας καθώς και στη χρηματοδότηση μονάδων υγείας και πρόνοιας, ξενώνων ή νοσοκομειακών τμημάτων για ειδικές ομάδες ασθενών.</w:t>
      </w:r>
      <w:r w:rsidR="004F7B96" w:rsidRPr="002D4C68">
        <w:rPr>
          <w:bCs/>
          <w:sz w:val="24"/>
          <w:szCs w:val="24"/>
          <w:lang w:val="el-GR"/>
        </w:rPr>
        <w:t xml:space="preserve"> </w:t>
      </w:r>
    </w:p>
    <w:p w14:paraId="2B575AF1" w14:textId="4CB0EA2A" w:rsidR="00426980" w:rsidRPr="008C3267" w:rsidRDefault="008C3267" w:rsidP="00516EC7">
      <w:pPr>
        <w:pStyle w:val="1"/>
        <w:rPr>
          <w:lang w:val="el-GR"/>
        </w:rPr>
      </w:pPr>
      <w:bookmarkStart w:id="6" w:name="_Toc109900523"/>
      <w:r>
        <w:rPr>
          <w:lang w:val="el-GR"/>
        </w:rPr>
        <w:t>Βιβλιογραφικές αναφορές</w:t>
      </w:r>
      <w:bookmarkEnd w:id="6"/>
    </w:p>
    <w:p w14:paraId="51488C18" w14:textId="77777777" w:rsidR="00426980" w:rsidRPr="00D334AB" w:rsidRDefault="00426980">
      <w:pPr>
        <w:pBdr>
          <w:top w:val="nil"/>
          <w:left w:val="nil"/>
          <w:bottom w:val="nil"/>
          <w:right w:val="nil"/>
          <w:between w:val="nil"/>
        </w:pBdr>
        <w:rPr>
          <w:color w:val="000000"/>
          <w:sz w:val="24"/>
          <w:szCs w:val="24"/>
          <w:lang w:val="el-GR"/>
        </w:rPr>
      </w:pPr>
    </w:p>
    <w:p w14:paraId="67334590" w14:textId="77777777" w:rsidR="00426980" w:rsidRDefault="004F7B96">
      <w:pPr>
        <w:numPr>
          <w:ilvl w:val="0"/>
          <w:numId w:val="3"/>
        </w:numPr>
        <w:pBdr>
          <w:top w:val="nil"/>
          <w:left w:val="nil"/>
          <w:bottom w:val="nil"/>
          <w:right w:val="nil"/>
          <w:between w:val="nil"/>
        </w:pBdr>
        <w:spacing w:after="0"/>
        <w:ind w:left="360"/>
        <w:rPr>
          <w:color w:val="000000"/>
          <w:sz w:val="24"/>
          <w:szCs w:val="24"/>
        </w:rPr>
      </w:pPr>
      <w:r>
        <w:rPr>
          <w:color w:val="000000"/>
          <w:sz w:val="24"/>
          <w:szCs w:val="24"/>
        </w:rPr>
        <w:t xml:space="preserve">Law 717/2020 ΦΕΚ 199/Β/31-1-2020. Arrangements to secure access to applicants for international protection in the health care services, social security and the labour market. P.A.A.Y.P.A. Retrieved from: </w:t>
      </w:r>
      <w:hyperlink r:id="rId23">
        <w:r>
          <w:rPr>
            <w:color w:val="0563C1"/>
            <w:sz w:val="24"/>
            <w:szCs w:val="24"/>
            <w:u w:val="single"/>
          </w:rPr>
          <w:t>https://ypergasias.gov.gr/wp-content/uploads/2021/02/KYA-717_28-1-2020.pdf. Accessed 26/04/2022</w:t>
        </w:r>
      </w:hyperlink>
      <w:r>
        <w:rPr>
          <w:color w:val="000000"/>
          <w:sz w:val="24"/>
          <w:szCs w:val="24"/>
        </w:rPr>
        <w:t>.</w:t>
      </w:r>
    </w:p>
    <w:p w14:paraId="3500A524" w14:textId="77777777" w:rsidR="00426980" w:rsidRDefault="00AE68C0">
      <w:pPr>
        <w:numPr>
          <w:ilvl w:val="0"/>
          <w:numId w:val="3"/>
        </w:numPr>
        <w:pBdr>
          <w:top w:val="nil"/>
          <w:left w:val="nil"/>
          <w:bottom w:val="nil"/>
          <w:right w:val="nil"/>
          <w:between w:val="nil"/>
        </w:pBdr>
        <w:spacing w:after="0"/>
        <w:ind w:left="360"/>
        <w:rPr>
          <w:color w:val="000000"/>
          <w:sz w:val="24"/>
          <w:szCs w:val="24"/>
        </w:rPr>
      </w:pPr>
      <w:hyperlink r:id="rId24">
        <w:r w:rsidR="004F7B96">
          <w:rPr>
            <w:color w:val="0563C1"/>
            <w:sz w:val="24"/>
            <w:szCs w:val="24"/>
            <w:u w:val="single"/>
          </w:rPr>
          <w:t>https://www.moh.gov.gr/articles/health/anaptyksh-monadwn-ygeias/3999-prosbash-twn-anasfalistwn-sto-dhmosio-systhma-ygeias</w:t>
        </w:r>
      </w:hyperlink>
    </w:p>
    <w:p w14:paraId="74CC2B45" w14:textId="77777777" w:rsidR="00426980" w:rsidRDefault="004F7B96">
      <w:pPr>
        <w:numPr>
          <w:ilvl w:val="0"/>
          <w:numId w:val="3"/>
        </w:numPr>
        <w:pBdr>
          <w:top w:val="nil"/>
          <w:left w:val="nil"/>
          <w:bottom w:val="nil"/>
          <w:right w:val="nil"/>
          <w:between w:val="nil"/>
        </w:pBdr>
        <w:ind w:left="360"/>
        <w:rPr>
          <w:color w:val="000000"/>
          <w:sz w:val="24"/>
          <w:szCs w:val="24"/>
        </w:rPr>
      </w:pPr>
      <w:r>
        <w:rPr>
          <w:color w:val="000000"/>
          <w:sz w:val="24"/>
          <w:szCs w:val="24"/>
        </w:rPr>
        <w:t xml:space="preserve">Economou C, </w:t>
      </w:r>
      <w:proofErr w:type="spellStart"/>
      <w:r>
        <w:rPr>
          <w:color w:val="000000"/>
          <w:sz w:val="24"/>
          <w:szCs w:val="24"/>
        </w:rPr>
        <w:t>Kaitelidou</w:t>
      </w:r>
      <w:proofErr w:type="spellEnd"/>
      <w:r>
        <w:rPr>
          <w:color w:val="000000"/>
          <w:sz w:val="24"/>
          <w:szCs w:val="24"/>
        </w:rPr>
        <w:t xml:space="preserve"> D, </w:t>
      </w:r>
      <w:proofErr w:type="spellStart"/>
      <w:r>
        <w:rPr>
          <w:color w:val="000000"/>
          <w:sz w:val="24"/>
          <w:szCs w:val="24"/>
        </w:rPr>
        <w:t>Karanikolos</w:t>
      </w:r>
      <w:proofErr w:type="spellEnd"/>
      <w:r>
        <w:rPr>
          <w:color w:val="000000"/>
          <w:sz w:val="24"/>
          <w:szCs w:val="24"/>
        </w:rPr>
        <w:t xml:space="preserve"> M, </w:t>
      </w:r>
      <w:proofErr w:type="spellStart"/>
      <w:r>
        <w:rPr>
          <w:color w:val="000000"/>
          <w:sz w:val="24"/>
          <w:szCs w:val="24"/>
        </w:rPr>
        <w:t>Maresso</w:t>
      </w:r>
      <w:proofErr w:type="spellEnd"/>
      <w:r>
        <w:rPr>
          <w:color w:val="000000"/>
          <w:sz w:val="24"/>
          <w:szCs w:val="24"/>
        </w:rPr>
        <w:t xml:space="preserve"> A. Greece: Health system review. Health Systems in Transition, 2017; 19(5):1–192.</w:t>
      </w:r>
    </w:p>
    <w:p w14:paraId="57A4E40F" w14:textId="77777777" w:rsidR="00426980" w:rsidRDefault="00426980">
      <w:pPr>
        <w:pBdr>
          <w:top w:val="nil"/>
          <w:left w:val="nil"/>
          <w:bottom w:val="nil"/>
          <w:right w:val="nil"/>
          <w:between w:val="nil"/>
        </w:pBdr>
        <w:rPr>
          <w:color w:val="000000"/>
          <w:sz w:val="24"/>
          <w:szCs w:val="24"/>
        </w:rPr>
      </w:pPr>
    </w:p>
    <w:p w14:paraId="6BCE0629" w14:textId="77777777" w:rsidR="00426980" w:rsidRDefault="00426980">
      <w:pPr>
        <w:pBdr>
          <w:top w:val="nil"/>
          <w:left w:val="nil"/>
          <w:bottom w:val="nil"/>
          <w:right w:val="nil"/>
          <w:between w:val="nil"/>
        </w:pBdr>
        <w:rPr>
          <w:color w:val="000000"/>
          <w:sz w:val="24"/>
          <w:szCs w:val="24"/>
        </w:rPr>
      </w:pPr>
    </w:p>
    <w:p w14:paraId="59CF569E" w14:textId="77777777" w:rsidR="00426980" w:rsidRDefault="00426980">
      <w:pPr>
        <w:pBdr>
          <w:top w:val="nil"/>
          <w:left w:val="nil"/>
          <w:bottom w:val="nil"/>
          <w:right w:val="nil"/>
          <w:between w:val="nil"/>
        </w:pBdr>
        <w:rPr>
          <w:color w:val="000000"/>
          <w:sz w:val="24"/>
          <w:szCs w:val="24"/>
        </w:rPr>
      </w:pPr>
    </w:p>
    <w:p w14:paraId="023AD1D4" w14:textId="77777777" w:rsidR="00426980" w:rsidRDefault="00426980">
      <w:pPr>
        <w:pBdr>
          <w:top w:val="nil"/>
          <w:left w:val="nil"/>
          <w:bottom w:val="nil"/>
          <w:right w:val="nil"/>
          <w:between w:val="nil"/>
        </w:pBdr>
        <w:rPr>
          <w:color w:val="000000"/>
          <w:sz w:val="24"/>
          <w:szCs w:val="24"/>
        </w:rPr>
      </w:pPr>
    </w:p>
    <w:sectPr w:rsidR="00426980">
      <w:footerReference w:type="default" r:id="rId25"/>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475C" w14:textId="77777777" w:rsidR="00230C0F" w:rsidRDefault="00230C0F">
      <w:pPr>
        <w:spacing w:after="0" w:line="240" w:lineRule="auto"/>
      </w:pPr>
      <w:r>
        <w:separator/>
      </w:r>
    </w:p>
  </w:endnote>
  <w:endnote w:type="continuationSeparator" w:id="0">
    <w:p w14:paraId="0C221BA4" w14:textId="77777777" w:rsidR="00230C0F" w:rsidRDefault="0023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427D" w14:textId="01A9F0A3" w:rsidR="00DD1184" w:rsidRDefault="00DD1184">
    <w:pPr>
      <w:pStyle w:val="a5"/>
      <w:jc w:val="center"/>
    </w:pPr>
  </w:p>
  <w:p w14:paraId="091FF123" w14:textId="77777777" w:rsidR="00426980" w:rsidRDefault="0042698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53158"/>
      <w:docPartObj>
        <w:docPartGallery w:val="Page Numbers (Bottom of Page)"/>
        <w:docPartUnique/>
      </w:docPartObj>
    </w:sdtPr>
    <w:sdtContent>
      <w:p w14:paraId="79FEF6D6" w14:textId="14FE5C8D" w:rsidR="000C0D2C" w:rsidRDefault="000C0D2C">
        <w:pPr>
          <w:pStyle w:val="a5"/>
          <w:jc w:val="center"/>
        </w:pPr>
        <w:r>
          <w:fldChar w:fldCharType="begin"/>
        </w:r>
        <w:r>
          <w:instrText>PAGE   \* MERGEFORMAT</w:instrText>
        </w:r>
        <w:r>
          <w:fldChar w:fldCharType="separate"/>
        </w:r>
        <w:r>
          <w:rPr>
            <w:lang w:val="el-GR"/>
          </w:rPr>
          <w:t>2</w:t>
        </w:r>
        <w:r>
          <w:fldChar w:fldCharType="end"/>
        </w:r>
      </w:p>
    </w:sdtContent>
  </w:sdt>
  <w:p w14:paraId="6C24887D" w14:textId="77777777" w:rsidR="000C0D2C" w:rsidRDefault="000C0D2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631E" w14:textId="77777777" w:rsidR="00230C0F" w:rsidRDefault="00230C0F">
      <w:pPr>
        <w:spacing w:after="0" w:line="240" w:lineRule="auto"/>
      </w:pPr>
      <w:r>
        <w:separator/>
      </w:r>
    </w:p>
  </w:footnote>
  <w:footnote w:type="continuationSeparator" w:id="0">
    <w:p w14:paraId="3BD2B419" w14:textId="77777777" w:rsidR="00230C0F" w:rsidRDefault="0023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03EF" w14:textId="79EDB2D9" w:rsidR="00426980" w:rsidRDefault="000A2839">
    <w:pPr>
      <w:ind w:left="-284"/>
    </w:pPr>
    <w:r>
      <w:rPr>
        <w:noProof/>
        <w:lang w:val="el-GR" w:eastAsia="el-GR"/>
      </w:rPr>
      <w:drawing>
        <wp:inline distT="0" distB="0" distL="0" distR="0" wp14:anchorId="208827BB" wp14:editId="1FDAEA9D">
          <wp:extent cx="2431520" cy="673982"/>
          <wp:effectExtent l="0" t="0" r="698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184" cy="677215"/>
                  </a:xfrm>
                  <a:prstGeom prst="rect">
                    <a:avLst/>
                  </a:prstGeom>
                  <a:noFill/>
                </pic:spPr>
              </pic:pic>
            </a:graphicData>
          </a:graphic>
        </wp:inline>
      </w:drawing>
    </w:r>
    <w:r w:rsidR="004F7B96">
      <w:t xml:space="preserve">                                       </w:t>
    </w:r>
    <w:r w:rsidR="00AE68C0">
      <w:pict w14:anchorId="5D80E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43.5pt">
          <v:imagedata r:id="rId2" o:title="logo-full-700x185"/>
        </v:shape>
      </w:pict>
    </w:r>
    <w:r w:rsidR="004F7B96">
      <w:br/>
    </w:r>
    <w:r w:rsidR="004F7B96">
      <w:rPr>
        <w:b/>
        <w: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16BB5"/>
    <w:multiLevelType w:val="multilevel"/>
    <w:tmpl w:val="8B4C677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543017"/>
    <w:multiLevelType w:val="multilevel"/>
    <w:tmpl w:val="3FE81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0C0493"/>
    <w:multiLevelType w:val="multilevel"/>
    <w:tmpl w:val="34E20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BA1CD9"/>
    <w:multiLevelType w:val="multilevel"/>
    <w:tmpl w:val="F1B69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987A79"/>
    <w:multiLevelType w:val="multilevel"/>
    <w:tmpl w:val="90465A5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6B097FAF"/>
    <w:multiLevelType w:val="multilevel"/>
    <w:tmpl w:val="7BD635E2"/>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2671306">
    <w:abstractNumId w:val="3"/>
  </w:num>
  <w:num w:numId="2" w16cid:durableId="994576781">
    <w:abstractNumId w:val="2"/>
  </w:num>
  <w:num w:numId="3" w16cid:durableId="2049523547">
    <w:abstractNumId w:val="0"/>
  </w:num>
  <w:num w:numId="4" w16cid:durableId="910695372">
    <w:abstractNumId w:val="5"/>
  </w:num>
  <w:num w:numId="5" w16cid:durableId="1746294524">
    <w:abstractNumId w:val="4"/>
  </w:num>
  <w:num w:numId="6" w16cid:durableId="1722510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980"/>
    <w:rsid w:val="00002D9F"/>
    <w:rsid w:val="000A07A7"/>
    <w:rsid w:val="000A2839"/>
    <w:rsid w:val="000A2DC1"/>
    <w:rsid w:val="000B7E68"/>
    <w:rsid w:val="000C0D2C"/>
    <w:rsid w:val="000E14C7"/>
    <w:rsid w:val="000E44AC"/>
    <w:rsid w:val="00160FAD"/>
    <w:rsid w:val="00164E4E"/>
    <w:rsid w:val="001E6127"/>
    <w:rsid w:val="00205500"/>
    <w:rsid w:val="00207DDE"/>
    <w:rsid w:val="00230C0F"/>
    <w:rsid w:val="002D4C68"/>
    <w:rsid w:val="002D5EE6"/>
    <w:rsid w:val="002D63D6"/>
    <w:rsid w:val="002E630B"/>
    <w:rsid w:val="003501C1"/>
    <w:rsid w:val="00370155"/>
    <w:rsid w:val="00372AA8"/>
    <w:rsid w:val="003A3D00"/>
    <w:rsid w:val="00426980"/>
    <w:rsid w:val="004A278A"/>
    <w:rsid w:val="004E0D1F"/>
    <w:rsid w:val="004F7B96"/>
    <w:rsid w:val="00512FC0"/>
    <w:rsid w:val="00516EC7"/>
    <w:rsid w:val="0053767D"/>
    <w:rsid w:val="005805EA"/>
    <w:rsid w:val="0059534E"/>
    <w:rsid w:val="005C4F06"/>
    <w:rsid w:val="005D321B"/>
    <w:rsid w:val="005E159F"/>
    <w:rsid w:val="007076A8"/>
    <w:rsid w:val="007455B5"/>
    <w:rsid w:val="007A4878"/>
    <w:rsid w:val="007E0633"/>
    <w:rsid w:val="0085492C"/>
    <w:rsid w:val="00855872"/>
    <w:rsid w:val="008C3267"/>
    <w:rsid w:val="008D054F"/>
    <w:rsid w:val="00980414"/>
    <w:rsid w:val="00A34C45"/>
    <w:rsid w:val="00AE68C0"/>
    <w:rsid w:val="00B36C83"/>
    <w:rsid w:val="00B40F23"/>
    <w:rsid w:val="00B453DA"/>
    <w:rsid w:val="00B827F8"/>
    <w:rsid w:val="00BA51D1"/>
    <w:rsid w:val="00C47F79"/>
    <w:rsid w:val="00C55A99"/>
    <w:rsid w:val="00C92770"/>
    <w:rsid w:val="00D334AB"/>
    <w:rsid w:val="00D71A06"/>
    <w:rsid w:val="00DD1184"/>
    <w:rsid w:val="00EB4364"/>
    <w:rsid w:val="00EC2D94"/>
    <w:rsid w:val="00F03013"/>
    <w:rsid w:val="00F337C9"/>
    <w:rsid w:val="00F85508"/>
    <w:rsid w:val="00FA5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90D6DA3"/>
  <w15:docId w15:val="{A8368A2F-45B2-4731-932F-775C8475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7C4"/>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table" w:customStyle="1" w:styleId="TableNormal1">
    <w:name w:val="Table Normal1"/>
    <w:tblPr>
      <w:tblCellMar>
        <w:top w:w="0" w:type="dxa"/>
        <w:left w:w="0" w:type="dxa"/>
        <w:bottom w:w="0" w:type="dxa"/>
        <w:right w:w="0" w:type="dxa"/>
      </w:tblCellMar>
    </w:tbl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unhideWhenUsed/>
    <w:rsid w:val="006B5612"/>
    <w:pPr>
      <w:spacing w:before="100" w:beforeAutospacing="1" w:after="100" w:afterAutospacing="1" w:line="240" w:lineRule="auto"/>
      <w:jc w:val="left"/>
    </w:pPr>
    <w:rPr>
      <w:rFonts w:ascii="Times New Roman" w:eastAsia="Times New Roman" w:hAnsi="Times New Roman" w:cs="Times New Roman"/>
      <w:sz w:val="24"/>
      <w:szCs w:val="24"/>
      <w:lang w:val="de-DE"/>
    </w:rPr>
  </w:style>
  <w:style w:type="character" w:styleId="-">
    <w:name w:val="Hyperlink"/>
    <w:basedOn w:val="a0"/>
    <w:uiPriority w:val="99"/>
    <w:unhideWhenUsed/>
    <w:rsid w:val="004F1D76"/>
    <w:rPr>
      <w:color w:val="0563C1" w:themeColor="hyperlink"/>
      <w:u w:val="single"/>
    </w:rPr>
  </w:style>
  <w:style w:type="paragraph" w:styleId="a8">
    <w:name w:val="TOC Heading"/>
    <w:basedOn w:val="1"/>
    <w:next w:val="a"/>
    <w:uiPriority w:val="39"/>
    <w:unhideWhenUsed/>
    <w:qFormat/>
    <w:rsid w:val="00A42903"/>
    <w:pPr>
      <w:spacing w:line="259" w:lineRule="auto"/>
      <w:jc w:val="left"/>
      <w:outlineLvl w:val="9"/>
    </w:pPr>
    <w:rPr>
      <w:rFonts w:asciiTheme="majorHAnsi" w:hAnsiTheme="majorHAnsi"/>
      <w:b w:val="0"/>
      <w:color w:val="2F5496" w:themeColor="accent1" w:themeShade="BF"/>
      <w:sz w:val="32"/>
      <w:lang w:val="de-DE"/>
    </w:rPr>
  </w:style>
  <w:style w:type="paragraph" w:styleId="10">
    <w:name w:val="toc 1"/>
    <w:basedOn w:val="a"/>
    <w:next w:val="a"/>
    <w:autoRedefine/>
    <w:uiPriority w:val="39"/>
    <w:unhideWhenUsed/>
    <w:rsid w:val="00237739"/>
    <w:pPr>
      <w:tabs>
        <w:tab w:val="left" w:pos="270"/>
        <w:tab w:val="right" w:leader="dot" w:pos="9060"/>
        <w:tab w:val="left" w:pos="435"/>
      </w:tabs>
      <w:spacing w:after="100"/>
    </w:pPr>
  </w:style>
  <w:style w:type="paragraph" w:styleId="20">
    <w:name w:val="toc 2"/>
    <w:basedOn w:val="a"/>
    <w:next w:val="a"/>
    <w:autoRedefine/>
    <w:uiPriority w:val="39"/>
    <w:unhideWhenUsed/>
    <w:rsid w:val="00A42903"/>
    <w:pPr>
      <w:spacing w:after="100"/>
      <w:ind w:left="220"/>
    </w:pPr>
  </w:style>
  <w:style w:type="character" w:customStyle="1" w:styleId="tooltip">
    <w:name w:val="tooltip"/>
    <w:basedOn w:val="a0"/>
    <w:rsid w:val="00CA0641"/>
  </w:style>
  <w:style w:type="paragraph" w:styleId="a9">
    <w:name w:val="caption"/>
    <w:basedOn w:val="a"/>
    <w:next w:val="a"/>
    <w:uiPriority w:val="35"/>
    <w:unhideWhenUsed/>
    <w:qFormat/>
    <w:rsid w:val="003B3256"/>
    <w:pPr>
      <w:spacing w:after="200" w:line="240" w:lineRule="auto"/>
    </w:pPr>
    <w:rPr>
      <w:i/>
      <w:iCs/>
      <w:color w:val="44546A" w:themeColor="text2"/>
      <w:sz w:val="18"/>
      <w:szCs w:val="18"/>
    </w:rPr>
  </w:style>
  <w:style w:type="character" w:styleId="aa">
    <w:name w:val="annotation reference"/>
    <w:basedOn w:val="a0"/>
    <w:uiPriority w:val="99"/>
    <w:semiHidden/>
    <w:unhideWhenUsed/>
    <w:rsid w:val="0034690B"/>
    <w:rPr>
      <w:sz w:val="16"/>
      <w:szCs w:val="16"/>
    </w:rPr>
  </w:style>
  <w:style w:type="paragraph" w:styleId="ab">
    <w:name w:val="annotation text"/>
    <w:basedOn w:val="a"/>
    <w:link w:val="Char2"/>
    <w:uiPriority w:val="99"/>
    <w:semiHidden/>
    <w:unhideWhenUsed/>
    <w:rsid w:val="0034690B"/>
    <w:pPr>
      <w:spacing w:line="240" w:lineRule="auto"/>
    </w:pPr>
    <w:rPr>
      <w:sz w:val="20"/>
      <w:szCs w:val="20"/>
    </w:rPr>
  </w:style>
  <w:style w:type="character" w:customStyle="1" w:styleId="Char2">
    <w:name w:val="Κείμενο σχολίου Char"/>
    <w:basedOn w:val="a0"/>
    <w:link w:val="ab"/>
    <w:uiPriority w:val="99"/>
    <w:semiHidden/>
    <w:rsid w:val="0034690B"/>
    <w:rPr>
      <w:sz w:val="20"/>
      <w:szCs w:val="20"/>
    </w:rPr>
  </w:style>
  <w:style w:type="paragraph" w:styleId="ac">
    <w:name w:val="annotation subject"/>
    <w:basedOn w:val="ab"/>
    <w:next w:val="ab"/>
    <w:link w:val="Char3"/>
    <w:uiPriority w:val="99"/>
    <w:semiHidden/>
    <w:unhideWhenUsed/>
    <w:rsid w:val="0034690B"/>
    <w:rPr>
      <w:b/>
      <w:bCs/>
    </w:rPr>
  </w:style>
  <w:style w:type="character" w:customStyle="1" w:styleId="Char3">
    <w:name w:val="Θέμα σχολίου Char"/>
    <w:basedOn w:val="Char2"/>
    <w:link w:val="ac"/>
    <w:uiPriority w:val="99"/>
    <w:semiHidden/>
    <w:rsid w:val="0034690B"/>
    <w:rPr>
      <w:b/>
      <w:bCs/>
      <w:sz w:val="20"/>
      <w:szCs w:val="20"/>
    </w:rPr>
  </w:style>
  <w:style w:type="paragraph" w:styleId="ad">
    <w:name w:val="Balloon Text"/>
    <w:basedOn w:val="a"/>
    <w:link w:val="Char4"/>
    <w:uiPriority w:val="99"/>
    <w:semiHidden/>
    <w:unhideWhenUsed/>
    <w:rsid w:val="0034690B"/>
    <w:pPr>
      <w:spacing w:after="0" w:line="240" w:lineRule="auto"/>
    </w:pPr>
    <w:rPr>
      <w:rFonts w:ascii="Segoe UI" w:hAnsi="Segoe UI" w:cs="Segoe UI"/>
      <w:sz w:val="18"/>
      <w:szCs w:val="18"/>
    </w:rPr>
  </w:style>
  <w:style w:type="character" w:customStyle="1" w:styleId="Char4">
    <w:name w:val="Κείμενο πλαισίου Char"/>
    <w:basedOn w:val="a0"/>
    <w:link w:val="ad"/>
    <w:uiPriority w:val="99"/>
    <w:semiHidden/>
    <w:rsid w:val="0034690B"/>
    <w:rPr>
      <w:rFonts w:ascii="Segoe UI" w:hAnsi="Segoe UI" w:cs="Segoe UI"/>
      <w:sz w:val="18"/>
      <w:szCs w:val="18"/>
    </w:rPr>
  </w:style>
  <w:style w:type="character" w:customStyle="1" w:styleId="11">
    <w:name w:val="Ανεπίλυτη αναφορά1"/>
    <w:basedOn w:val="a0"/>
    <w:uiPriority w:val="99"/>
    <w:semiHidden/>
    <w:unhideWhenUsed/>
    <w:rsid w:val="00000A69"/>
    <w:rPr>
      <w:color w:val="605E5C"/>
      <w:shd w:val="clear" w:color="auto" w:fill="E1DFDD"/>
    </w:rPr>
  </w:style>
  <w:style w:type="character" w:styleId="-0">
    <w:name w:val="FollowedHyperlink"/>
    <w:basedOn w:val="a0"/>
    <w:uiPriority w:val="99"/>
    <w:semiHidden/>
    <w:unhideWhenUsed/>
    <w:rsid w:val="00FF5D3C"/>
    <w:rPr>
      <w:color w:val="954F72" w:themeColor="followedHyperlink"/>
      <w:u w:val="single"/>
    </w:rPr>
  </w:style>
  <w:style w:type="paragraph" w:styleId="ae">
    <w:name w:val="No Spacing"/>
    <w:uiPriority w:val="1"/>
    <w:qFormat/>
    <w:pPr>
      <w:spacing w:after="0" w:line="240" w:lineRule="auto"/>
    </w:pPr>
  </w:style>
  <w:style w:type="character" w:customStyle="1" w:styleId="21">
    <w:name w:val="Ανεπίλυτη αναφορά2"/>
    <w:basedOn w:val="a0"/>
    <w:uiPriority w:val="99"/>
    <w:semiHidden/>
    <w:unhideWhenUsed/>
    <w:rsid w:val="00AC2A0B"/>
    <w:rPr>
      <w:color w:val="605E5C"/>
      <w:shd w:val="clear" w:color="auto" w:fill="E1DFDD"/>
    </w:rPr>
  </w:style>
  <w:style w:type="paragraph" w:styleId="af">
    <w:name w:val="Revision"/>
    <w:hidden/>
    <w:uiPriority w:val="99"/>
    <w:semiHidden/>
    <w:rsid w:val="00A5091E"/>
    <w:pPr>
      <w:spacing w:after="0" w:line="240" w:lineRule="auto"/>
      <w:jc w:val="left"/>
    </w:pPr>
  </w:style>
  <w:style w:type="table" w:customStyle="1" w:styleId="af0">
    <w:basedOn w:val="a1"/>
    <w:pPr>
      <w:spacing w:after="0" w:line="240" w:lineRule="auto"/>
      <w:jc w:val="left"/>
    </w:pPr>
    <w:tblPr>
      <w:tblStyleRowBandSize w:val="1"/>
      <w:tblStyleColBandSize w:val="1"/>
    </w:tblPr>
  </w:style>
  <w:style w:type="table" w:customStyle="1" w:styleId="af1">
    <w:basedOn w:val="a1"/>
    <w:pPr>
      <w:spacing w:after="0" w:line="240" w:lineRule="auto"/>
      <w:jc w:val="left"/>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www.moh.gov.gr/articles/health/anaptyksh-monadwn-ygeias/3999-prosbash-twn-anasfalistwn-sto-dhmosio-systhma-ygeias"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ypergasias.gov.gr/wp-content/uploads/2021/02/KYA-717_28-1-2020.pdf.%20Accessed%2026/04/2022" TargetMode="External"/><Relationship Id="rId10" Type="http://schemas.openxmlformats.org/officeDocument/2006/relationships/image" Target="media/image3.jpg"/><Relationship Id="rId19" Type="http://schemas.openxmlformats.org/officeDocument/2006/relationships/hyperlink" Target="https://mig-dhl.e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quwCFWM/zl3jzlr2/joFobKBAA==">AMUW2mV/M6RNXso8aAPIP6gG7GeeFy0guUSuH/ugJbHoE8UjQX/OxT4Lvu39N2gvUkUSXAxaGu+QaFTnfwjN39cKsTfubuaa7r1qQ2rNcJhBzsoCL+MqKjtO+pun3odmkCVdq4yC1rQviVLyZhWkow4U1JAm+AtlFT01edquqwW6/VtdxLIHohw+BlfbZjOzeL+LkyQgSDhbvu1iYIR354Rt8FpvGAkrcFkLDYFljDql8n4GSGKV5p/jhdSNPvbhiA7buKPHtpsR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2162</Words>
  <Characters>11678</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7</cp:revision>
  <cp:lastPrinted>2022-07-28T08:35:00Z</cp:lastPrinted>
  <dcterms:created xsi:type="dcterms:W3CDTF">2022-07-28T08:32:00Z</dcterms:created>
  <dcterms:modified xsi:type="dcterms:W3CDTF">2022-07-28T08:35:00Z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