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86EE8" w14:textId="77777777" w:rsidR="00FD1591" w:rsidRDefault="00FD1591">
      <w:pPr>
        <w:widowControl w:val="0"/>
        <w:pBdr>
          <w:top w:val="nil"/>
          <w:left w:val="nil"/>
          <w:bottom w:val="nil"/>
          <w:right w:val="nil"/>
          <w:between w:val="nil"/>
        </w:pBdr>
        <w:spacing w:after="0" w:line="276" w:lineRule="auto"/>
        <w:jc w:val="left"/>
      </w:pPr>
    </w:p>
    <w:p w14:paraId="71B3A19B" w14:textId="77777777" w:rsidR="00573809" w:rsidRPr="00D62E2C" w:rsidRDefault="00573809" w:rsidP="00573809">
      <w:pPr>
        <w:pStyle w:val="1"/>
        <w:jc w:val="both"/>
        <w:rPr>
          <w:szCs w:val="24"/>
        </w:rPr>
      </w:pPr>
    </w:p>
    <w:p w14:paraId="134BA3BC" w14:textId="77777777" w:rsidR="00573809" w:rsidRDefault="00573809" w:rsidP="00573809">
      <w:pPr>
        <w:rPr>
          <w:lang w:val="de-DE" w:eastAsia="en-GB"/>
        </w:rPr>
      </w:pPr>
      <w:r w:rsidRPr="00937215">
        <w:rPr>
          <w:noProof/>
          <w:lang w:val="de-DE"/>
        </w:rPr>
        <w:drawing>
          <wp:inline distT="0" distB="0" distL="0" distR="0" wp14:anchorId="2C1FCA57" wp14:editId="5AA23ABA">
            <wp:extent cx="5731510" cy="1516380"/>
            <wp:effectExtent l="38100" t="0" r="0" b="579120"/>
            <wp:docPr id="14"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p>
    <w:p w14:paraId="381BE0D1" w14:textId="77777777" w:rsidR="00A0767F" w:rsidRPr="00C27A80" w:rsidRDefault="0055183F">
      <w:pPr>
        <w:jc w:val="center"/>
        <w:rPr>
          <w:b/>
          <w:bCs/>
          <w:color w:val="C00000"/>
          <w:sz w:val="96"/>
          <w:szCs w:val="96"/>
          <w:lang w:val="de-DE" w:eastAsia="en-GB"/>
        </w:rPr>
      </w:pPr>
      <w:r w:rsidRPr="00C27A80">
        <w:rPr>
          <w:b/>
          <w:color w:val="C00000"/>
          <w:sz w:val="96"/>
          <w:szCs w:val="96"/>
          <w:lang w:val="de-DE" w:eastAsia="en-GB"/>
        </w:rPr>
        <w:t>Handbuch</w:t>
      </w:r>
    </w:p>
    <w:p w14:paraId="208C944F" w14:textId="3FEC853A" w:rsidR="00A0767F" w:rsidRPr="00F43FA2" w:rsidRDefault="0055183F">
      <w:pPr>
        <w:jc w:val="center"/>
        <w:rPr>
          <w:b/>
          <w:bCs/>
          <w:color w:val="C00000"/>
          <w:sz w:val="32"/>
          <w:szCs w:val="32"/>
          <w:lang w:val="de-DE" w:eastAsia="en-GB"/>
        </w:rPr>
      </w:pPr>
      <w:r w:rsidRPr="00F43FA2">
        <w:rPr>
          <w:b/>
          <w:color w:val="C00000"/>
          <w:sz w:val="40"/>
          <w:szCs w:val="40"/>
          <w:lang w:val="de-DE" w:eastAsia="en-GB"/>
        </w:rPr>
        <w:t xml:space="preserve">Modul 1 </w:t>
      </w:r>
      <w:r w:rsidRPr="00F43FA2">
        <w:rPr>
          <w:b/>
          <w:sz w:val="40"/>
          <w:szCs w:val="40"/>
          <w:lang w:val="de-DE" w:eastAsia="en-GB"/>
        </w:rPr>
        <w:br/>
      </w:r>
      <w:r w:rsidRPr="00F43FA2">
        <w:rPr>
          <w:sz w:val="40"/>
          <w:szCs w:val="40"/>
          <w:lang w:val="de-DE" w:eastAsia="en-GB"/>
        </w:rPr>
        <w:t xml:space="preserve">Was ist digitale </w:t>
      </w:r>
      <w:r w:rsidR="00537959">
        <w:rPr>
          <w:sz w:val="40"/>
          <w:szCs w:val="40"/>
          <w:lang w:val="de-DE" w:eastAsia="en-GB"/>
        </w:rPr>
        <w:t>Gesundheitsk</w:t>
      </w:r>
      <w:r w:rsidRPr="00F43FA2">
        <w:rPr>
          <w:sz w:val="40"/>
          <w:szCs w:val="40"/>
          <w:lang w:val="de-DE" w:eastAsia="en-GB"/>
        </w:rPr>
        <w:t>ompetenz?</w:t>
      </w:r>
      <w:r w:rsidR="00B7795D">
        <w:rPr>
          <w:sz w:val="40"/>
          <w:szCs w:val="40"/>
          <w:lang w:val="de-DE" w:eastAsia="en-GB"/>
        </w:rPr>
        <w:t xml:space="preserve"> </w:t>
      </w:r>
    </w:p>
    <w:p w14:paraId="4C226122" w14:textId="77BEF092" w:rsidR="00A0767F" w:rsidRPr="00F43FA2" w:rsidRDefault="0055183F">
      <w:pPr>
        <w:rPr>
          <w:sz w:val="28"/>
          <w:szCs w:val="28"/>
          <w:lang w:val="de-DE" w:eastAsia="en-GB"/>
        </w:rPr>
      </w:pPr>
      <w:r w:rsidRPr="00F43FA2">
        <w:rPr>
          <w:b/>
          <w:color w:val="C00000"/>
          <w:sz w:val="32"/>
          <w:szCs w:val="32"/>
          <w:lang w:val="de-DE" w:eastAsia="en-GB"/>
        </w:rPr>
        <w:t>Autoren:</w:t>
      </w:r>
      <w:r w:rsidRPr="00F43FA2">
        <w:rPr>
          <w:b/>
          <w:color w:val="C00000"/>
          <w:sz w:val="32"/>
          <w:szCs w:val="32"/>
          <w:lang w:val="de-DE" w:eastAsia="en-GB"/>
        </w:rPr>
        <w:br/>
      </w:r>
      <w:r w:rsidRPr="00F43FA2">
        <w:rPr>
          <w:sz w:val="28"/>
          <w:szCs w:val="28"/>
          <w:lang w:val="de-DE" w:eastAsia="en-GB"/>
        </w:rPr>
        <w:t xml:space="preserve">Carlos Serra, UVEG; Jenny </w:t>
      </w:r>
      <w:proofErr w:type="spellStart"/>
      <w:r w:rsidRPr="00F43FA2">
        <w:rPr>
          <w:sz w:val="28"/>
          <w:szCs w:val="28"/>
          <w:lang w:val="de-DE" w:eastAsia="en-GB"/>
        </w:rPr>
        <w:t>Wielga</w:t>
      </w:r>
      <w:proofErr w:type="spellEnd"/>
      <w:r w:rsidRPr="00F43FA2">
        <w:rPr>
          <w:sz w:val="28"/>
          <w:szCs w:val="28"/>
          <w:lang w:val="de-DE" w:eastAsia="en-GB"/>
        </w:rPr>
        <w:t>, IAT</w:t>
      </w:r>
    </w:p>
    <w:p w14:paraId="7F490C6E" w14:textId="77777777" w:rsidR="00573809" w:rsidRPr="00F43FA2" w:rsidRDefault="00573809" w:rsidP="00573809">
      <w:pPr>
        <w:rPr>
          <w:sz w:val="28"/>
          <w:szCs w:val="28"/>
          <w:lang w:val="de-DE" w:eastAsia="en-GB"/>
        </w:rPr>
      </w:pPr>
    </w:p>
    <w:p w14:paraId="306EE55A" w14:textId="77777777" w:rsidR="00573809" w:rsidRPr="00F43FA2" w:rsidRDefault="00573809" w:rsidP="00573809">
      <w:pPr>
        <w:rPr>
          <w:sz w:val="16"/>
          <w:szCs w:val="16"/>
          <w:lang w:val="de-DE" w:eastAsia="en-GB"/>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573809" w14:paraId="22C4A271" w14:textId="77777777" w:rsidTr="003C0F06">
        <w:trPr>
          <w:jc w:val="center"/>
        </w:trPr>
        <w:tc>
          <w:tcPr>
            <w:tcW w:w="1956" w:type="dxa"/>
            <w:gridSpan w:val="2"/>
          </w:tcPr>
          <w:p w14:paraId="29617E3F" w14:textId="77777777" w:rsidR="00573809" w:rsidRPr="00885C91" w:rsidRDefault="00573809" w:rsidP="003C0F06">
            <w:pPr>
              <w:rPr>
                <w:sz w:val="16"/>
                <w:szCs w:val="16"/>
                <w:lang w:val="en-GB" w:eastAsia="en-GB"/>
              </w:rPr>
            </w:pPr>
            <w:r>
              <w:rPr>
                <w:noProof/>
                <w:sz w:val="16"/>
                <w:szCs w:val="16"/>
                <w:lang w:val="de-DE"/>
              </w:rPr>
              <w:drawing>
                <wp:inline distT="0" distB="0" distL="0" distR="0" wp14:anchorId="1CB3EA95" wp14:editId="3D3B1704">
                  <wp:extent cx="1101330" cy="620554"/>
                  <wp:effectExtent l="0" t="0" r="3810" b="8255"/>
                  <wp:docPr id="2" name="Picture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5DF5254C" w14:textId="77777777" w:rsidR="00A0767F" w:rsidRDefault="0055183F">
            <w:pPr>
              <w:rPr>
                <w:sz w:val="16"/>
                <w:szCs w:val="16"/>
                <w:lang w:val="en-GB" w:eastAsia="en-GB"/>
              </w:rPr>
            </w:pPr>
            <w:r>
              <w:rPr>
                <w:noProof/>
                <w:sz w:val="16"/>
                <w:szCs w:val="16"/>
                <w:lang w:val="de-DE"/>
              </w:rPr>
              <w:drawing>
                <wp:anchor distT="0" distB="0" distL="114300" distR="114300" simplePos="0" relativeHeight="251661312" behindDoc="0" locked="0" layoutInCell="1" allowOverlap="1" wp14:anchorId="1EEED9D5" wp14:editId="4C279100">
                  <wp:simplePos x="0" y="0"/>
                  <wp:positionH relativeFrom="column">
                    <wp:posOffset>33655</wp:posOffset>
                  </wp:positionH>
                  <wp:positionV relativeFrom="paragraph">
                    <wp:posOffset>-230957</wp:posOffset>
                  </wp:positionV>
                  <wp:extent cx="688063" cy="89598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20A4CD8C" w14:textId="77777777" w:rsidR="00A0767F" w:rsidRDefault="0055183F">
            <w:pPr>
              <w:rPr>
                <w:sz w:val="16"/>
                <w:szCs w:val="16"/>
                <w:lang w:val="en-GB" w:eastAsia="en-GB"/>
              </w:rPr>
            </w:pPr>
            <w:r w:rsidRPr="00062BA4">
              <w:rPr>
                <w:noProof/>
                <w:sz w:val="16"/>
                <w:szCs w:val="16"/>
                <w:lang w:val="de-DE"/>
              </w:rPr>
              <w:drawing>
                <wp:anchor distT="0" distB="0" distL="114300" distR="114300" simplePos="0" relativeHeight="251662336" behindDoc="0" locked="0" layoutInCell="1" allowOverlap="1" wp14:anchorId="24F297ED" wp14:editId="09BB1A4B">
                  <wp:simplePos x="0" y="0"/>
                  <wp:positionH relativeFrom="column">
                    <wp:posOffset>69119</wp:posOffset>
                  </wp:positionH>
                  <wp:positionV relativeFrom="paragraph">
                    <wp:posOffset>126365</wp:posOffset>
                  </wp:positionV>
                  <wp:extent cx="1534538" cy="484360"/>
                  <wp:effectExtent l="0" t="0" r="0" b="0"/>
                  <wp:wrapSquare wrapText="bothSides"/>
                  <wp:docPr id="6" name="Picture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5FEC1022" w14:textId="77777777" w:rsidR="00573809" w:rsidRPr="00885C91" w:rsidRDefault="00573809" w:rsidP="003C0F06">
            <w:pPr>
              <w:rPr>
                <w:sz w:val="16"/>
                <w:szCs w:val="16"/>
                <w:lang w:val="en-GB" w:eastAsia="en-GB"/>
              </w:rPr>
            </w:pPr>
            <w:r w:rsidRPr="00784FAC">
              <w:rPr>
                <w:noProof/>
                <w:sz w:val="16"/>
                <w:szCs w:val="16"/>
                <w:lang w:val="de-DE"/>
              </w:rPr>
              <w:drawing>
                <wp:inline distT="0" distB="0" distL="0" distR="0" wp14:anchorId="69EC75C0" wp14:editId="2F6E4408">
                  <wp:extent cx="1040190" cy="582295"/>
                  <wp:effectExtent l="0" t="0" r="7620" b="8255"/>
                  <wp:docPr id="1" name="Picture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7E33C2C9" w14:textId="77777777" w:rsidR="00573809" w:rsidRPr="00885C91" w:rsidRDefault="00573809" w:rsidP="003C0F06">
            <w:pPr>
              <w:rPr>
                <w:sz w:val="16"/>
                <w:szCs w:val="16"/>
                <w:lang w:val="en-GB" w:eastAsia="en-GB"/>
              </w:rPr>
            </w:pPr>
            <w:r w:rsidRPr="00353E14">
              <w:rPr>
                <w:noProof/>
                <w:sz w:val="16"/>
                <w:szCs w:val="16"/>
                <w:lang w:val="de-DE"/>
              </w:rPr>
              <w:drawing>
                <wp:inline distT="0" distB="0" distL="0" distR="0" wp14:anchorId="3434B55B" wp14:editId="651E44B7">
                  <wp:extent cx="833025" cy="620395"/>
                  <wp:effectExtent l="0" t="0" r="5715" b="8255"/>
                  <wp:docPr id="2056" name="Picture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73809" w14:paraId="03EB1E97" w14:textId="77777777" w:rsidTr="003C0F06">
        <w:tblPrEx>
          <w:jc w:val="left"/>
        </w:tblPrEx>
        <w:trPr>
          <w:gridBefore w:val="1"/>
          <w:gridAfter w:val="1"/>
          <w:wBefore w:w="142" w:type="dxa"/>
          <w:wAfter w:w="10" w:type="dxa"/>
        </w:trPr>
        <w:tc>
          <w:tcPr>
            <w:tcW w:w="4366" w:type="dxa"/>
            <w:gridSpan w:val="3"/>
          </w:tcPr>
          <w:p w14:paraId="6C98819F" w14:textId="77777777" w:rsidR="00573809" w:rsidRPr="00885C91" w:rsidRDefault="00573809" w:rsidP="003C0F06">
            <w:pPr>
              <w:jc w:val="center"/>
              <w:rPr>
                <w:sz w:val="16"/>
                <w:szCs w:val="16"/>
                <w:lang w:val="en-GB" w:eastAsia="en-GB"/>
              </w:rPr>
            </w:pPr>
            <w:r w:rsidRPr="00062BA4">
              <w:rPr>
                <w:noProof/>
                <w:sz w:val="16"/>
                <w:szCs w:val="16"/>
                <w:lang w:val="de-DE"/>
              </w:rPr>
              <w:drawing>
                <wp:inline distT="0" distB="0" distL="0" distR="0" wp14:anchorId="553F0675" wp14:editId="6DE79882">
                  <wp:extent cx="930963" cy="386715"/>
                  <wp:effectExtent l="0" t="0" r="2540" b="0"/>
                  <wp:docPr id="20" name="Picture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9">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31B18FEC" w14:textId="77777777" w:rsidR="00573809" w:rsidRPr="00885C91" w:rsidRDefault="00573809" w:rsidP="003C0F06">
            <w:pPr>
              <w:jc w:val="center"/>
              <w:rPr>
                <w:sz w:val="16"/>
                <w:szCs w:val="16"/>
                <w:lang w:val="en-GB" w:eastAsia="en-GB"/>
              </w:rPr>
            </w:pPr>
            <w:r w:rsidRPr="00353E14">
              <w:rPr>
                <w:noProof/>
                <w:sz w:val="16"/>
                <w:szCs w:val="16"/>
                <w:lang w:val="de-DE"/>
              </w:rPr>
              <w:drawing>
                <wp:inline distT="0" distB="0" distL="0" distR="0" wp14:anchorId="68D2A38B" wp14:editId="73D8F01F">
                  <wp:extent cx="1094372" cy="386715"/>
                  <wp:effectExtent l="0" t="0" r="0" b="0"/>
                  <wp:docPr id="21" name="Picture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20">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D6E2DC7" w14:textId="77777777" w:rsidR="00A0767F" w:rsidRDefault="0055183F">
      <w:pPr>
        <w:rPr>
          <w:sz w:val="16"/>
          <w:szCs w:val="16"/>
          <w:lang w:val="en-US" w:eastAsia="en-GB"/>
        </w:rPr>
      </w:pPr>
      <w:r>
        <w:rPr>
          <w:rFonts w:ascii="Euphemia" w:hAnsi="Euphemia"/>
          <w:noProof/>
          <w:color w:val="262626" w:themeColor="text1" w:themeTint="D9"/>
          <w:sz w:val="18"/>
          <w:szCs w:val="18"/>
          <w:lang w:val="de-DE"/>
        </w:rPr>
        <w:drawing>
          <wp:anchor distT="0" distB="0" distL="114300" distR="114300" simplePos="0" relativeHeight="251660288" behindDoc="1" locked="0" layoutInCell="1" allowOverlap="1" wp14:anchorId="6480D34A" wp14:editId="3D36ABCE">
            <wp:simplePos x="0" y="0"/>
            <wp:positionH relativeFrom="column">
              <wp:posOffset>-643890</wp:posOffset>
            </wp:positionH>
            <wp:positionV relativeFrom="paragraph">
              <wp:posOffset>233680</wp:posOffset>
            </wp:positionV>
            <wp:extent cx="1683385" cy="481330"/>
            <wp:effectExtent l="0" t="0" r="0" b="0"/>
            <wp:wrapTight wrapText="bothSides">
              <wp:wrapPolygon edited="0">
                <wp:start x="0" y="0"/>
                <wp:lineTo x="0" y="20517"/>
                <wp:lineTo x="21266" y="20517"/>
                <wp:lineTo x="21266" y="0"/>
                <wp:lineTo x="0" y="0"/>
              </wp:wrapPolygon>
            </wp:wrapTight>
            <wp:docPr id="5"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83385" cy="481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314CEE" w14:textId="77777777" w:rsidR="00A0767F" w:rsidRPr="00F43FA2" w:rsidRDefault="0055183F">
      <w:pPr>
        <w:rPr>
          <w:sz w:val="16"/>
          <w:szCs w:val="16"/>
          <w:lang w:val="de-DE"/>
        </w:rPr>
        <w:sectPr w:rsidR="00A0767F" w:rsidRPr="00F43FA2" w:rsidSect="00573809">
          <w:headerReference w:type="default" r:id="rId22"/>
          <w:footerReference w:type="default" r:id="rId23"/>
          <w:headerReference w:type="first" r:id="rId24"/>
          <w:footerReference w:type="first" r:id="rId25"/>
          <w:pgSz w:w="11906" w:h="16838"/>
          <w:pgMar w:top="1440" w:right="1440" w:bottom="1440" w:left="1440" w:header="708" w:footer="478" w:gutter="0"/>
          <w:pgNumType w:start="0"/>
          <w:cols w:space="708"/>
          <w:titlePg/>
          <w:docGrid w:linePitch="360"/>
        </w:sectPr>
      </w:pPr>
      <w:r w:rsidRPr="00F43FA2">
        <w:rPr>
          <w:sz w:val="16"/>
          <w:szCs w:val="16"/>
          <w:lang w:val="de-DE" w:eastAsia="en-GB"/>
        </w:rPr>
        <w:t>Die Unterstützung der Europäischen Kommission für die Erstellung dieser Veröffentlichung stellt keine Billigung des Inhalts dar, der ausschließlich die Ansichten der Autoren widerspiegelt, und die Kommission kann nicht für eine etwaige Verwendung der darin enthaltenen Informationen verantwortlich gemacht werden. Projektnummer: 2020-1-DE02-KA204-007679.</w:t>
      </w:r>
      <w:r w:rsidRPr="00F43FA2">
        <w:rPr>
          <w:sz w:val="16"/>
          <w:szCs w:val="16"/>
          <w:lang w:val="de-DE"/>
        </w:rPr>
        <w:br w:type="page"/>
      </w:r>
    </w:p>
    <w:p w14:paraId="0E7EC81B" w14:textId="77777777" w:rsidR="00573809" w:rsidRPr="00F43FA2" w:rsidRDefault="00573809" w:rsidP="00573809">
      <w:pPr>
        <w:rPr>
          <w:lang w:val="de-DE" w:eastAsia="en-GB"/>
        </w:rPr>
      </w:pPr>
      <w:bookmarkStart w:id="0" w:name="_Hlk13583558"/>
    </w:p>
    <w:bookmarkEnd w:id="0"/>
    <w:p w14:paraId="7A6108EB" w14:textId="071C50AB" w:rsidR="00A0767F" w:rsidRPr="00F43FA2" w:rsidRDefault="00F43FA2">
      <w:pPr>
        <w:spacing w:line="259" w:lineRule="auto"/>
        <w:jc w:val="left"/>
        <w:rPr>
          <w:b/>
          <w:bCs/>
          <w:lang w:val="de-DE" w:eastAsia="en-GB"/>
        </w:rPr>
      </w:pPr>
      <w:r>
        <w:rPr>
          <w:lang w:val="de-DE" w:eastAsia="en-GB"/>
        </w:rPr>
        <w:t>Dieses Handbuch für Modul 1</w:t>
      </w:r>
      <w:r w:rsidR="0055183F" w:rsidRPr="00F43FA2">
        <w:rPr>
          <w:lang w:val="de-DE" w:eastAsia="en-GB"/>
        </w:rPr>
        <w:t xml:space="preserve"> ist Teil des </w:t>
      </w:r>
      <w:r>
        <w:rPr>
          <w:lang w:val="de-DE" w:eastAsia="en-GB"/>
        </w:rPr>
        <w:t>Schulungsprogramms des Erasmus+ Projektes MIG-DHL. Die Schulungsunterlagen umfassen</w:t>
      </w:r>
      <w:r w:rsidR="0055183F" w:rsidRPr="00F43FA2">
        <w:rPr>
          <w:lang w:val="de-DE" w:eastAsia="en-GB"/>
        </w:rPr>
        <w:t xml:space="preserve"> insgesamt 6 Lernmodule</w:t>
      </w:r>
      <w:r>
        <w:rPr>
          <w:lang w:val="de-DE" w:eastAsia="en-GB"/>
        </w:rPr>
        <w:t>.</w:t>
      </w:r>
    </w:p>
    <w:p w14:paraId="77A023FE" w14:textId="77777777" w:rsidR="00A0767F" w:rsidRPr="00F43FA2" w:rsidRDefault="0055183F">
      <w:pPr>
        <w:pStyle w:val="a8"/>
        <w:pBdr>
          <w:bottom w:val="single" w:sz="4" w:space="1" w:color="C00000"/>
        </w:pBdr>
        <w:spacing w:before="100" w:beforeAutospacing="1" w:after="480"/>
        <w:ind w:left="432" w:hanging="432"/>
        <w:jc w:val="both"/>
        <w:rPr>
          <w:lang w:eastAsia="en-GB"/>
        </w:rPr>
      </w:pPr>
      <w:r w:rsidRPr="00F43FA2">
        <w:rPr>
          <w:lang w:eastAsia="en-GB"/>
        </w:rPr>
        <w:t xml:space="preserve">Die Ausbildungsinhalte auf einen </w:t>
      </w:r>
      <w:r w:rsidRPr="00F43FA2">
        <w:t>Blick</w:t>
      </w:r>
      <w:r w:rsidRPr="00F43FA2">
        <w:rPr>
          <w:lang w:eastAsia="en-GB"/>
        </w:rPr>
        <w:t>:</w:t>
      </w:r>
    </w:p>
    <w:tbl>
      <w:tblPr>
        <w:tblStyle w:val="ae"/>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6C2554" w:rsidRPr="0062700B" w14:paraId="1B455C54" w14:textId="77777777" w:rsidTr="00CC4840">
        <w:trPr>
          <w:trHeight w:val="609"/>
          <w:jc w:val="center"/>
        </w:trPr>
        <w:tc>
          <w:tcPr>
            <w:tcW w:w="8647" w:type="dxa"/>
            <w:tcBorders>
              <w:bottom w:val="single" w:sz="18" w:space="0" w:color="FFFFFF" w:themeColor="background1"/>
            </w:tcBorders>
            <w:shd w:val="clear" w:color="auto" w:fill="auto"/>
            <w:tcMar>
              <w:top w:w="57" w:type="dxa"/>
              <w:bottom w:w="57" w:type="dxa"/>
            </w:tcMar>
            <w:vAlign w:val="center"/>
          </w:tcPr>
          <w:p w14:paraId="16F39FC7" w14:textId="77777777" w:rsidR="006C2554" w:rsidRDefault="006C2554" w:rsidP="00CC4840">
            <w:pPr>
              <w:rPr>
                <w:b/>
                <w:bCs/>
                <w:color w:val="1A1364"/>
                <w:szCs w:val="24"/>
                <w:lang w:val="de-DE"/>
              </w:rPr>
            </w:pPr>
            <w:r>
              <w:rPr>
                <w:b/>
                <w:color w:val="1A1364"/>
                <w:szCs w:val="24"/>
                <w:lang w:val="de-DE"/>
              </w:rPr>
              <w:t>MIG-DHL Inhalt</w:t>
            </w:r>
          </w:p>
        </w:tc>
      </w:tr>
      <w:tr w:rsidR="006C2554" w:rsidRPr="00652A60" w14:paraId="77B91602" w14:textId="77777777" w:rsidTr="00CC4840">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00000"/>
            <w:tcMar>
              <w:top w:w="57" w:type="dxa"/>
              <w:bottom w:w="57" w:type="dxa"/>
            </w:tcMar>
            <w:vAlign w:val="center"/>
          </w:tcPr>
          <w:p w14:paraId="4EF3BD7C" w14:textId="77777777" w:rsidR="006C2554" w:rsidRPr="00F43FA2" w:rsidRDefault="006C2554" w:rsidP="00CC4840">
            <w:pPr>
              <w:pStyle w:val="af"/>
              <w:rPr>
                <w:rFonts w:ascii="Arial" w:hAnsi="Arial" w:cs="Arial"/>
                <w:b/>
                <w:bCs w:val="0"/>
                <w:color w:val="FFFFFF" w:themeColor="background1"/>
                <w:lang w:val="de-DE"/>
              </w:rPr>
            </w:pPr>
            <w:r w:rsidRPr="00F43FA2">
              <w:rPr>
                <w:rFonts w:ascii="Arial" w:hAnsi="Arial" w:cs="Arial"/>
                <w:b/>
                <w:bCs w:val="0"/>
                <w:color w:val="FFFFFF" w:themeColor="background1"/>
                <w:lang w:val="de-DE"/>
              </w:rPr>
              <w:t>Modul 1: Was ist digitale Gesundheitskompetenz</w:t>
            </w:r>
            <w:r>
              <w:rPr>
                <w:rFonts w:ascii="Arial" w:hAnsi="Arial" w:cs="Arial"/>
                <w:b/>
                <w:bCs w:val="0"/>
                <w:color w:val="FFFFFF" w:themeColor="background1"/>
                <w:lang w:val="de-DE"/>
              </w:rPr>
              <w:t xml:space="preserve"> und ihre Bedeutung?</w:t>
            </w:r>
          </w:p>
        </w:tc>
      </w:tr>
      <w:tr w:rsidR="006C2554" w:rsidRPr="00652A60" w14:paraId="79478DE9" w14:textId="77777777" w:rsidTr="00CC4840">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128E545F" w14:textId="77777777" w:rsidR="006C2554" w:rsidRPr="00F43FA2" w:rsidRDefault="006C2554" w:rsidP="00CC4840">
            <w:pPr>
              <w:pStyle w:val="af"/>
              <w:rPr>
                <w:rFonts w:ascii="Arial" w:hAnsi="Arial" w:cs="Arial"/>
                <w:lang w:val="de-DE"/>
              </w:rPr>
            </w:pPr>
            <w:r w:rsidRPr="00F43FA2">
              <w:rPr>
                <w:rFonts w:ascii="Arial" w:hAnsi="Arial" w:cs="Arial"/>
                <w:lang w:val="de-DE"/>
              </w:rPr>
              <w:t>Modul 2: Die wichtigste</w:t>
            </w:r>
            <w:r>
              <w:rPr>
                <w:rFonts w:ascii="Arial" w:hAnsi="Arial" w:cs="Arial"/>
                <w:lang w:val="de-DE"/>
              </w:rPr>
              <w:t>n Gesundheitsfragen bei der Ankunft</w:t>
            </w:r>
            <w:r w:rsidRPr="00F43FA2">
              <w:rPr>
                <w:rFonts w:ascii="Arial" w:hAnsi="Arial" w:cs="Arial"/>
                <w:lang w:val="de-DE"/>
              </w:rPr>
              <w:t xml:space="preserve"> in einem neuen Land</w:t>
            </w:r>
          </w:p>
        </w:tc>
      </w:tr>
      <w:tr w:rsidR="006C2554" w:rsidRPr="00B479EA" w14:paraId="557E85B0" w14:textId="77777777" w:rsidTr="00CC4840">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491C15D6" w14:textId="77777777" w:rsidR="006C2554" w:rsidRDefault="006C2554" w:rsidP="00CC4840">
            <w:pPr>
              <w:pStyle w:val="af"/>
              <w:rPr>
                <w:rFonts w:ascii="Arial" w:hAnsi="Arial" w:cs="Arial"/>
                <w:lang w:val="de-DE"/>
              </w:rPr>
            </w:pPr>
            <w:r>
              <w:rPr>
                <w:rFonts w:ascii="Arial" w:hAnsi="Arial" w:cs="Arial"/>
                <w:lang w:val="de-DE"/>
              </w:rPr>
              <w:t>Modul 3</w:t>
            </w:r>
            <w:r w:rsidRPr="00B479EA">
              <w:rPr>
                <w:rFonts w:ascii="Arial" w:hAnsi="Arial" w:cs="Arial"/>
                <w:lang w:val="de-DE"/>
              </w:rPr>
              <w:t xml:space="preserve">: </w:t>
            </w:r>
            <w:proofErr w:type="spellStart"/>
            <w:r>
              <w:rPr>
                <w:rFonts w:ascii="Arial" w:hAnsi="Arial" w:cs="Arial"/>
              </w:rPr>
              <w:t>Dienstleistungen</w:t>
            </w:r>
            <w:proofErr w:type="spellEnd"/>
            <w:r>
              <w:rPr>
                <w:rFonts w:ascii="Arial" w:hAnsi="Arial" w:cs="Arial"/>
              </w:rPr>
              <w:t xml:space="preserve"> </w:t>
            </w:r>
            <w:proofErr w:type="spellStart"/>
            <w:r>
              <w:rPr>
                <w:rFonts w:ascii="Arial" w:hAnsi="Arial" w:cs="Arial"/>
              </w:rPr>
              <w:t>im</w:t>
            </w:r>
            <w:proofErr w:type="spellEnd"/>
            <w:r>
              <w:rPr>
                <w:rFonts w:ascii="Arial" w:hAnsi="Arial" w:cs="Arial"/>
              </w:rPr>
              <w:t xml:space="preserve"> </w:t>
            </w:r>
            <w:proofErr w:type="spellStart"/>
            <w:r>
              <w:rPr>
                <w:rFonts w:ascii="Arial" w:hAnsi="Arial" w:cs="Arial"/>
              </w:rPr>
              <w:t>Gesundheitswesen</w:t>
            </w:r>
            <w:proofErr w:type="spellEnd"/>
          </w:p>
        </w:tc>
      </w:tr>
      <w:tr w:rsidR="006C2554" w:rsidRPr="00B479EA" w14:paraId="0ED7E0ED" w14:textId="77777777" w:rsidTr="00CC4840">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71DB8DB2" w14:textId="77777777" w:rsidR="006C2554" w:rsidRDefault="006C2554" w:rsidP="00CC4840">
            <w:pPr>
              <w:pStyle w:val="af"/>
              <w:rPr>
                <w:rFonts w:ascii="Arial" w:hAnsi="Arial" w:cs="Arial"/>
                <w:lang w:val="de-DE"/>
              </w:rPr>
            </w:pPr>
            <w:r w:rsidRPr="00573809">
              <w:rPr>
                <w:rFonts w:ascii="Arial" w:hAnsi="Arial" w:cs="Arial"/>
                <w:bCs w:val="0"/>
                <w:color w:val="FFFFFF" w:themeColor="background1"/>
              </w:rPr>
              <w:t>Modu</w:t>
            </w:r>
            <w:r>
              <w:rPr>
                <w:rFonts w:ascii="Arial" w:hAnsi="Arial" w:cs="Arial"/>
                <w:bCs w:val="0"/>
                <w:color w:val="FFFFFF" w:themeColor="background1"/>
              </w:rPr>
              <w:t xml:space="preserve">l 4: </w:t>
            </w:r>
            <w:proofErr w:type="spellStart"/>
            <w:r>
              <w:rPr>
                <w:rFonts w:ascii="Arial" w:hAnsi="Arial" w:cs="Arial"/>
                <w:bCs w:val="0"/>
                <w:color w:val="FFFFFF" w:themeColor="background1"/>
              </w:rPr>
              <w:t>Digitale</w:t>
            </w:r>
            <w:proofErr w:type="spellEnd"/>
            <w:r>
              <w:rPr>
                <w:rFonts w:ascii="Arial" w:hAnsi="Arial" w:cs="Arial"/>
                <w:bCs w:val="0"/>
                <w:color w:val="FFFFFF" w:themeColor="background1"/>
              </w:rPr>
              <w:t xml:space="preserve"> </w:t>
            </w:r>
            <w:proofErr w:type="spellStart"/>
            <w:r>
              <w:rPr>
                <w:rFonts w:ascii="Arial" w:hAnsi="Arial" w:cs="Arial"/>
                <w:bCs w:val="0"/>
                <w:color w:val="FFFFFF" w:themeColor="background1"/>
              </w:rPr>
              <w:t>Kompetenz</w:t>
            </w:r>
            <w:proofErr w:type="spellEnd"/>
            <w:r>
              <w:rPr>
                <w:rFonts w:ascii="Arial" w:hAnsi="Arial" w:cs="Arial"/>
                <w:bCs w:val="0"/>
                <w:color w:val="FFFFFF" w:themeColor="background1"/>
              </w:rPr>
              <w:t xml:space="preserve"> </w:t>
            </w:r>
            <w:proofErr w:type="spellStart"/>
            <w:r>
              <w:rPr>
                <w:rFonts w:ascii="Arial" w:hAnsi="Arial" w:cs="Arial"/>
                <w:bCs w:val="0"/>
                <w:color w:val="FFFFFF" w:themeColor="background1"/>
              </w:rPr>
              <w:t>entwickeln</w:t>
            </w:r>
            <w:proofErr w:type="spellEnd"/>
          </w:p>
        </w:tc>
      </w:tr>
      <w:tr w:rsidR="006C2554" w:rsidRPr="00652A60" w14:paraId="4A8A8144" w14:textId="77777777" w:rsidTr="00CC4840">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0ADC8FEF" w14:textId="77777777" w:rsidR="006C2554" w:rsidRPr="00F43FA2" w:rsidRDefault="006C2554" w:rsidP="00CC4840">
            <w:pPr>
              <w:pStyle w:val="af"/>
              <w:rPr>
                <w:rFonts w:ascii="Arial" w:hAnsi="Arial" w:cs="Arial"/>
                <w:lang w:val="de-DE"/>
              </w:rPr>
            </w:pPr>
            <w:r w:rsidRPr="00F43FA2">
              <w:rPr>
                <w:rFonts w:ascii="Arial" w:hAnsi="Arial" w:cs="Arial"/>
                <w:lang w:val="de-DE"/>
              </w:rPr>
              <w:t xml:space="preserve">Modul 5: </w:t>
            </w:r>
            <w:r>
              <w:rPr>
                <w:rFonts w:ascii="Arial" w:hAnsi="Arial" w:cs="Arial"/>
                <w:lang w:val="de-DE"/>
              </w:rPr>
              <w:t>Erkundung digitaler Gesundheitstools</w:t>
            </w:r>
          </w:p>
        </w:tc>
      </w:tr>
      <w:tr w:rsidR="006C2554" w:rsidRPr="00652A60" w14:paraId="64A814CA" w14:textId="77777777" w:rsidTr="00CC4840">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3E8DE572" w14:textId="77777777" w:rsidR="006C2554" w:rsidRPr="00F43FA2" w:rsidRDefault="006C2554" w:rsidP="00CC4840">
            <w:pPr>
              <w:pStyle w:val="af"/>
              <w:rPr>
                <w:rFonts w:ascii="Arial" w:hAnsi="Arial" w:cs="Arial"/>
                <w:lang w:val="de-DE"/>
              </w:rPr>
            </w:pPr>
            <w:r w:rsidRPr="00F43FA2">
              <w:rPr>
                <w:rFonts w:ascii="Arial" w:hAnsi="Arial" w:cs="Arial"/>
                <w:lang w:val="de-DE"/>
              </w:rPr>
              <w:t xml:space="preserve">Modul 6: </w:t>
            </w:r>
            <w:r>
              <w:rPr>
                <w:rFonts w:ascii="Arial" w:hAnsi="Arial" w:cs="Arial"/>
                <w:lang w:val="de-DE"/>
              </w:rPr>
              <w:t>Aktiv sein im digitalen Gesundheitsumfeld</w:t>
            </w:r>
          </w:p>
        </w:tc>
      </w:tr>
    </w:tbl>
    <w:p w14:paraId="3A1AB819" w14:textId="07895E35" w:rsidR="00A0767F" w:rsidRPr="00F43FA2" w:rsidRDefault="0055183F">
      <w:pPr>
        <w:rPr>
          <w:lang w:val="de-DE"/>
        </w:rPr>
      </w:pPr>
      <w:r w:rsidRPr="00F43FA2">
        <w:rPr>
          <w:lang w:val="de-DE" w:eastAsia="en-GB"/>
        </w:rPr>
        <w:t xml:space="preserve">Weitere Informationen finden Sie auf der Homepage: </w:t>
      </w:r>
      <w:hyperlink r:id="rId26" w:history="1">
        <w:r w:rsidR="00D6306E" w:rsidRPr="00FB4842">
          <w:rPr>
            <w:rStyle w:val="-"/>
            <w:lang w:val="de-DE"/>
          </w:rPr>
          <w:t>https://mig-dhl.eu/</w:t>
        </w:r>
      </w:hyperlink>
      <w:r w:rsidR="00D6306E">
        <w:rPr>
          <w:lang w:val="de-DE"/>
        </w:rPr>
        <w:t xml:space="preserve"> </w:t>
      </w:r>
      <w:r w:rsidRPr="00F43FA2">
        <w:rPr>
          <w:lang w:val="de-DE"/>
        </w:rPr>
        <w:t xml:space="preserve"> </w:t>
      </w:r>
    </w:p>
    <w:p w14:paraId="24C1740B" w14:textId="77777777" w:rsidR="00573809" w:rsidRPr="00F43FA2" w:rsidRDefault="00573809" w:rsidP="00573809">
      <w:pPr>
        <w:rPr>
          <w:lang w:val="de-DE" w:eastAsia="en-GB"/>
        </w:rPr>
      </w:pPr>
      <w:r w:rsidRPr="00F43FA2">
        <w:rPr>
          <w:lang w:val="de-DE" w:eastAsia="en-GB"/>
        </w:rPr>
        <w:br w:type="page"/>
      </w:r>
    </w:p>
    <w:p w14:paraId="2C8D8484" w14:textId="77777777" w:rsidR="00573809" w:rsidRPr="00F43FA2" w:rsidRDefault="00573809" w:rsidP="00573809">
      <w:pPr>
        <w:jc w:val="center"/>
        <w:rPr>
          <w:lang w:val="de-DE" w:eastAsia="en-GB"/>
        </w:rPr>
      </w:pPr>
      <w:bookmarkStart w:id="1" w:name="_Hlk18139512"/>
    </w:p>
    <w:p w14:paraId="2E155FD7" w14:textId="77777777" w:rsidR="00A0767F" w:rsidRDefault="0055183F">
      <w:pPr>
        <w:jc w:val="center"/>
        <w:rPr>
          <w:b/>
          <w:bCs/>
          <w:color w:val="002060"/>
          <w:lang w:val="de-DE" w:eastAsia="en-GB"/>
        </w:rPr>
      </w:pPr>
      <w:r w:rsidRPr="000B6B49">
        <w:rPr>
          <w:b/>
          <w:color w:val="002060"/>
          <w:lang w:val="de-DE" w:eastAsia="en-GB"/>
        </w:rPr>
        <w:t>Erklärung zum Urheberrecht:</w:t>
      </w:r>
      <w:bookmarkEnd w:id="1"/>
    </w:p>
    <w:p w14:paraId="3EB0479A" w14:textId="77777777" w:rsidR="00573809" w:rsidRPr="000B6B49" w:rsidRDefault="00573809" w:rsidP="00573809">
      <w:pPr>
        <w:jc w:val="center"/>
        <w:rPr>
          <w:b/>
          <w:bCs/>
          <w:color w:val="002060"/>
          <w:lang w:val="de-DE" w:eastAsia="en-GB"/>
        </w:rPr>
      </w:pPr>
      <w:r w:rsidRPr="007F67CA">
        <w:rPr>
          <w:b/>
          <w:noProof/>
          <w:color w:val="002060"/>
          <w:lang w:val="de-DE"/>
        </w:rPr>
        <w:drawing>
          <wp:inline distT="0" distB="0" distL="0" distR="0" wp14:anchorId="7569C337" wp14:editId="75731CD3">
            <wp:extent cx="1406013" cy="492105"/>
            <wp:effectExtent l="0" t="0" r="3810" b="3810"/>
            <wp:docPr id="8"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050A7CE5" w14:textId="5E81C08C" w:rsidR="00A0767F" w:rsidRDefault="0055183F">
      <w:pPr>
        <w:jc w:val="center"/>
        <w:rPr>
          <w:lang w:val="en-US" w:eastAsia="en-GB"/>
        </w:rPr>
      </w:pPr>
      <w:r w:rsidRPr="00C75710">
        <w:br/>
      </w:r>
      <w:r w:rsidRPr="00BF1E67">
        <w:rPr>
          <w:lang w:val="en-US" w:eastAsia="en-GB"/>
        </w:rPr>
        <w:t xml:space="preserve">Dieses </w:t>
      </w:r>
      <w:proofErr w:type="spellStart"/>
      <w:r w:rsidRPr="00BF1E67">
        <w:rPr>
          <w:lang w:val="en-US" w:eastAsia="en-GB"/>
        </w:rPr>
        <w:t>Werk</w:t>
      </w:r>
      <w:proofErr w:type="spellEnd"/>
      <w:r w:rsidRPr="00BF1E67">
        <w:rPr>
          <w:lang w:val="en-US" w:eastAsia="en-GB"/>
        </w:rPr>
        <w:t xml:space="preserve"> </w:t>
      </w:r>
      <w:proofErr w:type="spellStart"/>
      <w:r w:rsidRPr="00BF1E67">
        <w:rPr>
          <w:lang w:val="en-US" w:eastAsia="en-GB"/>
        </w:rPr>
        <w:t>ist</w:t>
      </w:r>
      <w:proofErr w:type="spellEnd"/>
      <w:r w:rsidRPr="00BF1E67">
        <w:rPr>
          <w:lang w:val="en-US" w:eastAsia="en-GB"/>
        </w:rPr>
        <w:t xml:space="preserve"> </w:t>
      </w:r>
      <w:proofErr w:type="spellStart"/>
      <w:r w:rsidRPr="00BF1E67">
        <w:rPr>
          <w:lang w:val="en-US" w:eastAsia="en-GB"/>
        </w:rPr>
        <w:t>lizenziert</w:t>
      </w:r>
      <w:proofErr w:type="spellEnd"/>
      <w:r w:rsidRPr="00BF1E67">
        <w:rPr>
          <w:lang w:val="en-US" w:eastAsia="en-GB"/>
        </w:rPr>
        <w:t xml:space="preserve"> </w:t>
      </w:r>
      <w:proofErr w:type="spellStart"/>
      <w:r w:rsidRPr="00BF1E67">
        <w:rPr>
          <w:lang w:val="en-US" w:eastAsia="en-GB"/>
        </w:rPr>
        <w:t>unter</w:t>
      </w:r>
      <w:proofErr w:type="spellEnd"/>
      <w:r w:rsidRPr="00BF1E67">
        <w:rPr>
          <w:lang w:val="en-US" w:eastAsia="en-GB"/>
        </w:rPr>
        <w:t xml:space="preserve"> </w:t>
      </w:r>
      <w:proofErr w:type="spellStart"/>
      <w:r w:rsidRPr="00BF1E67">
        <w:rPr>
          <w:lang w:val="en-US" w:eastAsia="en-GB"/>
        </w:rPr>
        <w:t>einer</w:t>
      </w:r>
      <w:proofErr w:type="spellEnd"/>
      <w:r w:rsidRPr="00BF1E67">
        <w:rPr>
          <w:lang w:val="en-US" w:eastAsia="en-GB"/>
        </w:rPr>
        <w:t xml:space="preserve"> Creative Commons Attribution-</w:t>
      </w:r>
      <w:proofErr w:type="spellStart"/>
      <w:r w:rsidRPr="00BF1E67">
        <w:rPr>
          <w:lang w:val="en-US" w:eastAsia="en-GB"/>
        </w:rPr>
        <w:t>NonCommercial</w:t>
      </w:r>
      <w:proofErr w:type="spellEnd"/>
      <w:r w:rsidRPr="00BF1E67">
        <w:rPr>
          <w:lang w:val="en-US" w:eastAsia="en-GB"/>
        </w:rPr>
        <w:t>-</w:t>
      </w:r>
      <w:proofErr w:type="spellStart"/>
      <w:r w:rsidRPr="00BF1E67">
        <w:rPr>
          <w:lang w:val="en-US" w:eastAsia="en-GB"/>
        </w:rPr>
        <w:t>ShareAlike</w:t>
      </w:r>
      <w:proofErr w:type="spellEnd"/>
      <w:r w:rsidRPr="00BF1E67">
        <w:rPr>
          <w:lang w:val="en-US" w:eastAsia="en-GB"/>
        </w:rPr>
        <w:t xml:space="preserve"> 4.0 International License. </w:t>
      </w:r>
      <w:proofErr w:type="spellStart"/>
      <w:r w:rsidR="00C27A80">
        <w:rPr>
          <w:lang w:val="en-US" w:eastAsia="en-GB"/>
        </w:rPr>
        <w:t>Unter</w:t>
      </w:r>
      <w:proofErr w:type="spellEnd"/>
      <w:r w:rsidR="00C27A80">
        <w:rPr>
          <w:lang w:val="en-US" w:eastAsia="en-GB"/>
        </w:rPr>
        <w:t xml:space="preserve"> </w:t>
      </w:r>
      <w:proofErr w:type="spellStart"/>
      <w:r w:rsidR="00C27A80">
        <w:rPr>
          <w:lang w:val="en-US" w:eastAsia="en-GB"/>
        </w:rPr>
        <w:t>folgenden</w:t>
      </w:r>
      <w:proofErr w:type="spellEnd"/>
      <w:r w:rsidR="00C27A80">
        <w:rPr>
          <w:lang w:val="en-US" w:eastAsia="en-GB"/>
        </w:rPr>
        <w:t xml:space="preserve"> </w:t>
      </w:r>
      <w:proofErr w:type="spellStart"/>
      <w:r w:rsidR="00C27A80">
        <w:rPr>
          <w:lang w:val="en-US" w:eastAsia="en-GB"/>
        </w:rPr>
        <w:t>Bedinungen</w:t>
      </w:r>
      <w:proofErr w:type="spellEnd"/>
      <w:r w:rsidR="00C27A80">
        <w:rPr>
          <w:lang w:val="en-US" w:eastAsia="en-GB"/>
        </w:rPr>
        <w:t xml:space="preserve"> </w:t>
      </w:r>
      <w:proofErr w:type="spellStart"/>
      <w:r w:rsidR="00C27A80">
        <w:rPr>
          <w:lang w:val="en-US" w:eastAsia="en-GB"/>
        </w:rPr>
        <w:t>können</w:t>
      </w:r>
      <w:proofErr w:type="spellEnd"/>
      <w:r w:rsidR="00C27A80">
        <w:rPr>
          <w:lang w:val="en-US" w:eastAsia="en-GB"/>
        </w:rPr>
        <w:t xml:space="preserve"> Sie die </w:t>
      </w:r>
      <w:proofErr w:type="spellStart"/>
      <w:r w:rsidR="00C27A80">
        <w:rPr>
          <w:lang w:val="en-US" w:eastAsia="en-GB"/>
        </w:rPr>
        <w:t>Unterlagen</w:t>
      </w:r>
      <w:proofErr w:type="spellEnd"/>
      <w:r w:rsidR="00C27A80">
        <w:rPr>
          <w:lang w:val="en-US" w:eastAsia="en-GB"/>
        </w:rPr>
        <w:t xml:space="preserve"> </w:t>
      </w:r>
      <w:proofErr w:type="spellStart"/>
      <w:r w:rsidR="00C27A80">
        <w:rPr>
          <w:lang w:val="en-US" w:eastAsia="en-GB"/>
        </w:rPr>
        <w:t>verwenden</w:t>
      </w:r>
      <w:proofErr w:type="spellEnd"/>
      <w:r w:rsidR="00C27A80">
        <w:rPr>
          <w:lang w:val="en-US" w:eastAsia="en-GB"/>
        </w:rPr>
        <w:t>:</w:t>
      </w:r>
    </w:p>
    <w:p w14:paraId="0AC91466" w14:textId="77777777" w:rsidR="008F5989" w:rsidRDefault="008F5989" w:rsidP="008F5989">
      <w:pPr>
        <w:pStyle w:val="a6"/>
        <w:numPr>
          <w:ilvl w:val="0"/>
          <w:numId w:val="2"/>
        </w:numPr>
        <w:spacing w:before="100" w:beforeAutospacing="1" w:after="200" w:line="312" w:lineRule="auto"/>
        <w:rPr>
          <w:lang w:val="de-DE"/>
        </w:rPr>
      </w:pPr>
      <w:r w:rsidRPr="008F5989">
        <w:rPr>
          <w:lang w:val="de-DE"/>
        </w:rPr>
        <w:t>Teilen — das Material in jedwedem Format oder Medium vervielfältigen und weiterverbreite</w:t>
      </w:r>
      <w:r>
        <w:rPr>
          <w:lang w:val="de-DE"/>
        </w:rPr>
        <w:t>n</w:t>
      </w:r>
    </w:p>
    <w:p w14:paraId="2C84A33D" w14:textId="24853485" w:rsidR="00A0767F" w:rsidRPr="00A5194F" w:rsidRDefault="008F5989" w:rsidP="00AD3E8D">
      <w:pPr>
        <w:pStyle w:val="a6"/>
        <w:numPr>
          <w:ilvl w:val="0"/>
          <w:numId w:val="2"/>
        </w:numPr>
        <w:spacing w:before="100" w:beforeAutospacing="1" w:after="200" w:line="312" w:lineRule="auto"/>
        <w:rPr>
          <w:lang w:val="de-DE"/>
        </w:rPr>
      </w:pPr>
      <w:r w:rsidRPr="00A5194F">
        <w:rPr>
          <w:lang w:val="de-DE"/>
        </w:rPr>
        <w:t xml:space="preserve">Bearbeiten — das Material </w:t>
      </w:r>
      <w:proofErr w:type="spellStart"/>
      <w:r w:rsidRPr="00A5194F">
        <w:rPr>
          <w:lang w:val="de-DE"/>
        </w:rPr>
        <w:t>remixen</w:t>
      </w:r>
      <w:proofErr w:type="spellEnd"/>
      <w:r w:rsidRPr="00A5194F">
        <w:rPr>
          <w:lang w:val="de-DE"/>
        </w:rPr>
        <w:t xml:space="preserve">, verändern und darauf </w:t>
      </w:r>
      <w:proofErr w:type="gramStart"/>
      <w:r w:rsidRPr="00A5194F">
        <w:rPr>
          <w:lang w:val="de-DE"/>
        </w:rPr>
        <w:t>aufbauen</w:t>
      </w:r>
      <w:r w:rsidR="00A5194F">
        <w:rPr>
          <w:lang w:val="de-DE"/>
        </w:rPr>
        <w:t xml:space="preserve"> </w:t>
      </w:r>
      <w:r w:rsidRPr="00A5194F">
        <w:rPr>
          <w:lang w:val="de-DE"/>
        </w:rPr>
        <w:t xml:space="preserve"> </w:t>
      </w:r>
      <w:r w:rsidR="0055183F" w:rsidRPr="00A5194F">
        <w:rPr>
          <w:color w:val="262626" w:themeColor="text1" w:themeTint="D9"/>
          <w:lang w:val="de-DE"/>
        </w:rPr>
        <w:t>unter</w:t>
      </w:r>
      <w:proofErr w:type="gramEnd"/>
      <w:r w:rsidR="0055183F" w:rsidRPr="00A5194F">
        <w:rPr>
          <w:color w:val="262626" w:themeColor="text1" w:themeTint="D9"/>
          <w:lang w:val="de-DE"/>
        </w:rPr>
        <w:t xml:space="preserve"> den folgenden Bedingungen:</w:t>
      </w:r>
    </w:p>
    <w:p w14:paraId="4026D3AF" w14:textId="24B1E23C" w:rsidR="008F5989" w:rsidRPr="008F5989" w:rsidRDefault="008F5989" w:rsidP="008F5989">
      <w:pPr>
        <w:pStyle w:val="a6"/>
        <w:numPr>
          <w:ilvl w:val="0"/>
          <w:numId w:val="2"/>
        </w:numPr>
        <w:spacing w:before="100" w:beforeAutospacing="1" w:after="200" w:line="312" w:lineRule="auto"/>
        <w:rPr>
          <w:lang w:val="de-DE"/>
        </w:rPr>
      </w:pPr>
      <w:r w:rsidRPr="008F5989">
        <w:rPr>
          <w:rFonts w:eastAsia="MyriadPro-Regular"/>
          <w:lang w:val="de-DE" w:eastAsia="en-US"/>
        </w:rPr>
        <w:t>Namensnennung — Sie müssen angemessene Urheber- und Rechteangaben machen, einen Link zur Lizenz beifügen und angeben, ob Änderungen vorgenommen wurden. Diese Angaben dürfen in jeder angemessenen Art und Weise gemacht werden, allerdings nicht so, dass der Eindruck entsteht, der Lizenzgeber unterstütze gerade Sie oder Ihre Nutzung besonders</w:t>
      </w:r>
      <w:r>
        <w:rPr>
          <w:rFonts w:eastAsia="MyriadPro-Regular"/>
          <w:lang w:val="de-DE" w:eastAsia="en-US"/>
        </w:rPr>
        <w:t>.</w:t>
      </w:r>
    </w:p>
    <w:p w14:paraId="16C59251" w14:textId="77777777" w:rsidR="008F5989" w:rsidRDefault="008F5989" w:rsidP="00573809">
      <w:pPr>
        <w:pStyle w:val="a6"/>
        <w:numPr>
          <w:ilvl w:val="0"/>
          <w:numId w:val="2"/>
        </w:numPr>
        <w:spacing w:before="100" w:beforeAutospacing="1" w:after="200" w:line="312" w:lineRule="auto"/>
        <w:rPr>
          <w:lang w:val="de-DE"/>
        </w:rPr>
      </w:pPr>
      <w:r w:rsidRPr="008F5989">
        <w:rPr>
          <w:lang w:val="de-DE"/>
        </w:rPr>
        <w:t xml:space="preserve">Nicht kommerziell — Sie dürfen das Material nicht für kommerzielle Zwecke nutzen. </w:t>
      </w:r>
    </w:p>
    <w:p w14:paraId="54784B0B" w14:textId="7426FD05" w:rsidR="00573809" w:rsidRPr="008F5989" w:rsidRDefault="008F5989" w:rsidP="00573809">
      <w:pPr>
        <w:pStyle w:val="a6"/>
        <w:numPr>
          <w:ilvl w:val="0"/>
          <w:numId w:val="2"/>
        </w:numPr>
        <w:spacing w:before="100" w:beforeAutospacing="1" w:after="200" w:line="312" w:lineRule="auto"/>
        <w:rPr>
          <w:lang w:val="de-DE"/>
        </w:rPr>
      </w:pPr>
      <w:r w:rsidRPr="008F5989">
        <w:rPr>
          <w:lang w:val="de-DE"/>
        </w:rPr>
        <w:t xml:space="preserve">Weitergabe unter gleichen Bedingungen — Wenn Sie das Material </w:t>
      </w:r>
      <w:proofErr w:type="spellStart"/>
      <w:r w:rsidRPr="008F5989">
        <w:rPr>
          <w:lang w:val="de-DE"/>
        </w:rPr>
        <w:t>remixen</w:t>
      </w:r>
      <w:proofErr w:type="spellEnd"/>
      <w:r w:rsidRPr="008F5989">
        <w:rPr>
          <w:lang w:val="de-DE"/>
        </w:rPr>
        <w:t>, verändern oder anderweitig direkt darauf aufbauen, dürfen Sie Ihre Beiträge nur unter derselben Lizenz wie das Original verbreiten.</w:t>
      </w:r>
    </w:p>
    <w:p w14:paraId="25E3BCAA" w14:textId="77777777" w:rsidR="00573809" w:rsidRPr="00F43FA2" w:rsidRDefault="00573809" w:rsidP="00573809">
      <w:pPr>
        <w:pBdr>
          <w:top w:val="nil"/>
          <w:left w:val="nil"/>
          <w:bottom w:val="nil"/>
          <w:right w:val="nil"/>
          <w:between w:val="nil"/>
        </w:pBdr>
        <w:rPr>
          <w:color w:val="000000"/>
          <w:szCs w:val="24"/>
          <w:lang w:val="de-DE"/>
        </w:rPr>
      </w:pPr>
    </w:p>
    <w:p w14:paraId="2CC98D2A" w14:textId="17C546C4" w:rsidR="00573809" w:rsidRPr="00F43FA2" w:rsidRDefault="008F5989" w:rsidP="00573809">
      <w:pPr>
        <w:pBdr>
          <w:top w:val="nil"/>
          <w:left w:val="nil"/>
          <w:bottom w:val="nil"/>
          <w:right w:val="nil"/>
          <w:between w:val="nil"/>
        </w:pBdr>
        <w:rPr>
          <w:color w:val="000000"/>
          <w:szCs w:val="24"/>
          <w:lang w:val="de-DE"/>
        </w:rPr>
      </w:pPr>
      <w:r w:rsidRPr="008F5989">
        <w:rPr>
          <w:rStyle w:val="af0"/>
          <w:lang w:val="de-DE"/>
        </w:rPr>
        <w:t>Keine weiteren Einschränkungen</w:t>
      </w:r>
      <w:r w:rsidRPr="008F5989">
        <w:rPr>
          <w:lang w:val="de-DE"/>
        </w:rPr>
        <w:t xml:space="preserve"> — Sie dürfen keine zusätzlichen Klauseln oder technische Verfahren einsetzen, die anderen rechtlich irgendetwas untersagen, was die Lizenz erlaubt.</w:t>
      </w:r>
    </w:p>
    <w:p w14:paraId="4B396211" w14:textId="77777777" w:rsidR="00573809" w:rsidRPr="00F43FA2" w:rsidRDefault="00573809" w:rsidP="00573809">
      <w:pPr>
        <w:pBdr>
          <w:top w:val="nil"/>
          <w:left w:val="nil"/>
          <w:bottom w:val="nil"/>
          <w:right w:val="nil"/>
          <w:between w:val="nil"/>
        </w:pBdr>
        <w:rPr>
          <w:color w:val="000000"/>
          <w:szCs w:val="24"/>
          <w:lang w:val="de-DE"/>
        </w:rPr>
      </w:pPr>
    </w:p>
    <w:p w14:paraId="73740FE6" w14:textId="77777777" w:rsidR="00573809" w:rsidRPr="00F43FA2" w:rsidRDefault="00573809" w:rsidP="00573809">
      <w:pPr>
        <w:pBdr>
          <w:top w:val="nil"/>
          <w:left w:val="nil"/>
          <w:bottom w:val="nil"/>
          <w:right w:val="nil"/>
          <w:between w:val="nil"/>
        </w:pBdr>
        <w:rPr>
          <w:color w:val="000000"/>
          <w:szCs w:val="24"/>
          <w:lang w:val="de-DE"/>
        </w:rPr>
      </w:pPr>
    </w:p>
    <w:p w14:paraId="4692CFB5" w14:textId="77777777" w:rsidR="00FD1591" w:rsidRPr="00F43FA2" w:rsidRDefault="00FD1591">
      <w:pPr>
        <w:rPr>
          <w:sz w:val="24"/>
          <w:szCs w:val="24"/>
          <w:lang w:val="de-DE"/>
        </w:rPr>
      </w:pPr>
    </w:p>
    <w:p w14:paraId="093734FD" w14:textId="77777777" w:rsidR="00FD1591" w:rsidRPr="00F43FA2" w:rsidRDefault="00FD1591">
      <w:pPr>
        <w:rPr>
          <w:sz w:val="24"/>
          <w:szCs w:val="24"/>
          <w:lang w:val="de-DE"/>
        </w:rPr>
      </w:pPr>
    </w:p>
    <w:p w14:paraId="25F88668" w14:textId="77777777" w:rsidR="00FD1591" w:rsidRPr="00F43FA2" w:rsidRDefault="00FD1591">
      <w:pPr>
        <w:rPr>
          <w:sz w:val="24"/>
          <w:szCs w:val="24"/>
          <w:lang w:val="de-DE"/>
        </w:rPr>
      </w:pPr>
    </w:p>
    <w:p w14:paraId="4A491BF9" w14:textId="77777777" w:rsidR="00FD1591" w:rsidRPr="00F43FA2" w:rsidRDefault="00FD1591">
      <w:pPr>
        <w:pBdr>
          <w:top w:val="nil"/>
          <w:left w:val="nil"/>
          <w:bottom w:val="nil"/>
          <w:right w:val="nil"/>
          <w:between w:val="nil"/>
        </w:pBdr>
        <w:rPr>
          <w:color w:val="000000"/>
          <w:sz w:val="24"/>
          <w:szCs w:val="24"/>
          <w:lang w:val="de-DE"/>
        </w:rPr>
      </w:pPr>
      <w:bookmarkStart w:id="2" w:name="_heading=h.gjdgxs" w:colFirst="0" w:colLast="0"/>
      <w:bookmarkEnd w:id="2"/>
    </w:p>
    <w:p w14:paraId="24201ED0" w14:textId="77777777" w:rsidR="00A0767F" w:rsidRDefault="0055183F">
      <w:pPr>
        <w:keepNext/>
        <w:keepLines/>
        <w:pBdr>
          <w:top w:val="nil"/>
          <w:left w:val="nil"/>
          <w:bottom w:val="nil"/>
          <w:right w:val="nil"/>
          <w:between w:val="nil"/>
        </w:pBdr>
        <w:spacing w:before="240" w:after="0" w:line="259" w:lineRule="auto"/>
        <w:jc w:val="left"/>
        <w:rPr>
          <w:b/>
          <w:color w:val="000000"/>
          <w:sz w:val="24"/>
          <w:szCs w:val="24"/>
        </w:rPr>
      </w:pPr>
      <w:proofErr w:type="spellStart"/>
      <w:r>
        <w:rPr>
          <w:b/>
          <w:color w:val="000000"/>
          <w:sz w:val="24"/>
          <w:szCs w:val="24"/>
        </w:rPr>
        <w:lastRenderedPageBreak/>
        <w:t>Inhalt</w:t>
      </w:r>
      <w:proofErr w:type="spellEnd"/>
    </w:p>
    <w:sdt>
      <w:sdtPr>
        <w:id w:val="-1998322749"/>
        <w:docPartObj>
          <w:docPartGallery w:val="Table of Contents"/>
          <w:docPartUnique/>
        </w:docPartObj>
      </w:sdtPr>
      <w:sdtContent>
        <w:p w14:paraId="7F4AE567" w14:textId="57515112" w:rsidR="00A0767F" w:rsidRDefault="000C74B4">
          <w:pPr>
            <w:pStyle w:val="10"/>
            <w:tabs>
              <w:tab w:val="right" w:pos="9062"/>
            </w:tabs>
            <w:rPr>
              <w:rFonts w:asciiTheme="minorHAnsi" w:eastAsiaTheme="minorEastAsia" w:hAnsiTheme="minorHAnsi" w:cstheme="minorBidi"/>
              <w:noProof/>
              <w:lang w:val="de-DE"/>
            </w:rPr>
          </w:pPr>
          <w:r>
            <w:fldChar w:fldCharType="begin"/>
          </w:r>
          <w:r w:rsidR="0055183F">
            <w:instrText xml:space="preserve"> TOC \h \u \z </w:instrText>
          </w:r>
          <w:r>
            <w:fldChar w:fldCharType="separate"/>
          </w:r>
          <w:hyperlink w:anchor="_Toc103249335" w:history="1">
            <w:r w:rsidR="00573809" w:rsidRPr="00F158A7">
              <w:rPr>
                <w:rStyle w:val="-"/>
                <w:noProof/>
              </w:rPr>
              <w:t>Einführung</w:t>
            </w:r>
            <w:r w:rsidR="00573809">
              <w:rPr>
                <w:noProof/>
                <w:webHidden/>
              </w:rPr>
              <w:tab/>
            </w:r>
            <w:r w:rsidR="00573809">
              <w:rPr>
                <w:noProof/>
                <w:webHidden/>
              </w:rPr>
              <w:fldChar w:fldCharType="begin"/>
            </w:r>
            <w:r w:rsidR="00573809">
              <w:rPr>
                <w:noProof/>
                <w:webHidden/>
              </w:rPr>
              <w:instrText xml:space="preserve"> PAGEREF _Toc103249335 \h </w:instrText>
            </w:r>
            <w:r w:rsidR="00573809">
              <w:rPr>
                <w:noProof/>
                <w:webHidden/>
              </w:rPr>
              <w:fldChar w:fldCharType="separate"/>
            </w:r>
            <w:r w:rsidR="004C3B40">
              <w:rPr>
                <w:b/>
                <w:bCs/>
                <w:noProof/>
                <w:webHidden/>
                <w:lang w:val="el-GR"/>
              </w:rPr>
              <w:t>Σφάλμα! Δεν έχει οριστεί σελιδοδείκτης.</w:t>
            </w:r>
            <w:r w:rsidR="00573809">
              <w:rPr>
                <w:noProof/>
                <w:webHidden/>
              </w:rPr>
              <w:fldChar w:fldCharType="end"/>
            </w:r>
          </w:hyperlink>
        </w:p>
        <w:p w14:paraId="774FAA6F" w14:textId="21B39B52" w:rsidR="00A0767F" w:rsidRDefault="00000000">
          <w:pPr>
            <w:pStyle w:val="10"/>
            <w:tabs>
              <w:tab w:val="right" w:pos="9062"/>
            </w:tabs>
            <w:rPr>
              <w:rFonts w:asciiTheme="minorHAnsi" w:eastAsiaTheme="minorEastAsia" w:hAnsiTheme="minorHAnsi" w:cstheme="minorBidi"/>
              <w:noProof/>
              <w:lang w:val="de-DE"/>
            </w:rPr>
          </w:pPr>
          <w:hyperlink w:anchor="_Toc103249336" w:history="1">
            <w:r w:rsidR="0055183F" w:rsidRPr="00F158A7">
              <w:rPr>
                <w:rStyle w:val="-"/>
                <w:noProof/>
              </w:rPr>
              <w:t>1. Was ist digitale Gesundheitskompetenz und ihre Bedeutung?</w:t>
            </w:r>
            <w:r w:rsidR="0055183F">
              <w:rPr>
                <w:noProof/>
                <w:webHidden/>
              </w:rPr>
              <w:tab/>
            </w:r>
            <w:r w:rsidR="0055183F">
              <w:rPr>
                <w:noProof/>
                <w:webHidden/>
              </w:rPr>
              <w:fldChar w:fldCharType="begin"/>
            </w:r>
            <w:r w:rsidR="0055183F">
              <w:rPr>
                <w:noProof/>
                <w:webHidden/>
              </w:rPr>
              <w:instrText xml:space="preserve"> PAGEREF _Toc103249336 \h </w:instrText>
            </w:r>
            <w:r w:rsidR="0055183F">
              <w:rPr>
                <w:noProof/>
                <w:webHidden/>
              </w:rPr>
            </w:r>
            <w:r w:rsidR="0055183F">
              <w:rPr>
                <w:noProof/>
                <w:webHidden/>
              </w:rPr>
              <w:fldChar w:fldCharType="separate"/>
            </w:r>
            <w:r w:rsidR="004C3B40">
              <w:rPr>
                <w:noProof/>
                <w:webHidden/>
              </w:rPr>
              <w:t>1</w:t>
            </w:r>
            <w:r w:rsidR="0055183F">
              <w:rPr>
                <w:noProof/>
                <w:webHidden/>
              </w:rPr>
              <w:fldChar w:fldCharType="end"/>
            </w:r>
          </w:hyperlink>
        </w:p>
        <w:p w14:paraId="464A54A4" w14:textId="5DE775F8" w:rsidR="00A0767F" w:rsidRDefault="00000000">
          <w:pPr>
            <w:pStyle w:val="20"/>
            <w:tabs>
              <w:tab w:val="right" w:pos="9062"/>
            </w:tabs>
            <w:rPr>
              <w:rFonts w:asciiTheme="minorHAnsi" w:eastAsiaTheme="minorEastAsia" w:hAnsiTheme="minorHAnsi" w:cstheme="minorBidi"/>
              <w:noProof/>
              <w:lang w:val="de-DE"/>
            </w:rPr>
          </w:pPr>
          <w:hyperlink w:anchor="_Toc103249337" w:history="1">
            <w:r w:rsidR="0055183F" w:rsidRPr="00F158A7">
              <w:rPr>
                <w:rStyle w:val="-"/>
                <w:noProof/>
              </w:rPr>
              <w:t>1.1 Das ERASMUS+ Programm.</w:t>
            </w:r>
            <w:r w:rsidR="0055183F">
              <w:rPr>
                <w:noProof/>
                <w:webHidden/>
              </w:rPr>
              <w:tab/>
            </w:r>
            <w:r w:rsidR="0055183F">
              <w:rPr>
                <w:noProof/>
                <w:webHidden/>
              </w:rPr>
              <w:fldChar w:fldCharType="begin"/>
            </w:r>
            <w:r w:rsidR="0055183F">
              <w:rPr>
                <w:noProof/>
                <w:webHidden/>
              </w:rPr>
              <w:instrText xml:space="preserve"> PAGEREF _Toc103249337 \h </w:instrText>
            </w:r>
            <w:r w:rsidR="0055183F">
              <w:rPr>
                <w:noProof/>
                <w:webHidden/>
              </w:rPr>
            </w:r>
            <w:r w:rsidR="0055183F">
              <w:rPr>
                <w:noProof/>
                <w:webHidden/>
              </w:rPr>
              <w:fldChar w:fldCharType="separate"/>
            </w:r>
            <w:r w:rsidR="004C3B40">
              <w:rPr>
                <w:noProof/>
                <w:webHidden/>
              </w:rPr>
              <w:t>2</w:t>
            </w:r>
            <w:r w:rsidR="0055183F">
              <w:rPr>
                <w:noProof/>
                <w:webHidden/>
              </w:rPr>
              <w:fldChar w:fldCharType="end"/>
            </w:r>
          </w:hyperlink>
        </w:p>
        <w:p w14:paraId="2C9DFC35" w14:textId="4FF24D1C" w:rsidR="00A0767F" w:rsidRDefault="00000000">
          <w:pPr>
            <w:pStyle w:val="20"/>
            <w:tabs>
              <w:tab w:val="right" w:pos="9062"/>
            </w:tabs>
            <w:rPr>
              <w:rFonts w:asciiTheme="minorHAnsi" w:eastAsiaTheme="minorEastAsia" w:hAnsiTheme="minorHAnsi" w:cstheme="minorBidi"/>
              <w:noProof/>
              <w:lang w:val="de-DE"/>
            </w:rPr>
          </w:pPr>
          <w:hyperlink w:anchor="_Toc103249338" w:history="1">
            <w:r w:rsidR="0055183F" w:rsidRPr="00F158A7">
              <w:rPr>
                <w:rStyle w:val="-"/>
                <w:noProof/>
              </w:rPr>
              <w:t>1.2 Konzept der digitalen Gesundheitskompetenz</w:t>
            </w:r>
            <w:r w:rsidR="0055183F">
              <w:rPr>
                <w:noProof/>
                <w:webHidden/>
              </w:rPr>
              <w:tab/>
            </w:r>
            <w:r w:rsidR="0055183F">
              <w:rPr>
                <w:noProof/>
                <w:webHidden/>
              </w:rPr>
              <w:fldChar w:fldCharType="begin"/>
            </w:r>
            <w:r w:rsidR="0055183F">
              <w:rPr>
                <w:noProof/>
                <w:webHidden/>
              </w:rPr>
              <w:instrText xml:space="preserve"> PAGEREF _Toc103249338 \h </w:instrText>
            </w:r>
            <w:r w:rsidR="0055183F">
              <w:rPr>
                <w:noProof/>
                <w:webHidden/>
              </w:rPr>
            </w:r>
            <w:r w:rsidR="0055183F">
              <w:rPr>
                <w:noProof/>
                <w:webHidden/>
              </w:rPr>
              <w:fldChar w:fldCharType="separate"/>
            </w:r>
            <w:r w:rsidR="004C3B40">
              <w:rPr>
                <w:noProof/>
                <w:webHidden/>
              </w:rPr>
              <w:t>3</w:t>
            </w:r>
            <w:r w:rsidR="0055183F">
              <w:rPr>
                <w:noProof/>
                <w:webHidden/>
              </w:rPr>
              <w:fldChar w:fldCharType="end"/>
            </w:r>
          </w:hyperlink>
        </w:p>
        <w:p w14:paraId="43E154EC" w14:textId="15967950" w:rsidR="00A0767F" w:rsidRDefault="00000000">
          <w:pPr>
            <w:pStyle w:val="20"/>
            <w:tabs>
              <w:tab w:val="right" w:pos="9062"/>
            </w:tabs>
            <w:rPr>
              <w:rFonts w:asciiTheme="minorHAnsi" w:eastAsiaTheme="minorEastAsia" w:hAnsiTheme="minorHAnsi" w:cstheme="minorBidi"/>
              <w:noProof/>
              <w:lang w:val="de-DE"/>
            </w:rPr>
          </w:pPr>
          <w:hyperlink w:anchor="_Toc103249339" w:history="1">
            <w:r w:rsidR="0055183F" w:rsidRPr="00F158A7">
              <w:rPr>
                <w:rStyle w:val="-"/>
                <w:noProof/>
              </w:rPr>
              <w:t>1.3 Die Bedeutung der digitalen Gesundheitskompetenz für Migranten</w:t>
            </w:r>
            <w:r w:rsidR="0055183F">
              <w:rPr>
                <w:noProof/>
                <w:webHidden/>
              </w:rPr>
              <w:tab/>
            </w:r>
            <w:r w:rsidR="0055183F">
              <w:rPr>
                <w:noProof/>
                <w:webHidden/>
              </w:rPr>
              <w:fldChar w:fldCharType="begin"/>
            </w:r>
            <w:r w:rsidR="0055183F">
              <w:rPr>
                <w:noProof/>
                <w:webHidden/>
              </w:rPr>
              <w:instrText xml:space="preserve"> PAGEREF _Toc103249339 \h </w:instrText>
            </w:r>
            <w:r w:rsidR="0055183F">
              <w:rPr>
                <w:noProof/>
                <w:webHidden/>
              </w:rPr>
            </w:r>
            <w:r w:rsidR="0055183F">
              <w:rPr>
                <w:noProof/>
                <w:webHidden/>
              </w:rPr>
              <w:fldChar w:fldCharType="separate"/>
            </w:r>
            <w:r w:rsidR="004C3B40">
              <w:rPr>
                <w:noProof/>
                <w:webHidden/>
              </w:rPr>
              <w:t>6</w:t>
            </w:r>
            <w:r w:rsidR="0055183F">
              <w:rPr>
                <w:noProof/>
                <w:webHidden/>
              </w:rPr>
              <w:fldChar w:fldCharType="end"/>
            </w:r>
          </w:hyperlink>
        </w:p>
        <w:p w14:paraId="3683A924" w14:textId="70BE9944" w:rsidR="00A0767F" w:rsidRDefault="00000000">
          <w:pPr>
            <w:pStyle w:val="10"/>
            <w:tabs>
              <w:tab w:val="right" w:pos="9062"/>
            </w:tabs>
            <w:rPr>
              <w:rFonts w:asciiTheme="minorHAnsi" w:eastAsiaTheme="minorEastAsia" w:hAnsiTheme="minorHAnsi" w:cstheme="minorBidi"/>
              <w:noProof/>
              <w:lang w:val="de-DE"/>
            </w:rPr>
          </w:pPr>
          <w:hyperlink w:anchor="_Toc103249340" w:history="1">
            <w:r w:rsidR="0055183F" w:rsidRPr="00F158A7">
              <w:rPr>
                <w:rStyle w:val="-"/>
                <w:noProof/>
              </w:rPr>
              <w:t>Referenzen</w:t>
            </w:r>
            <w:r w:rsidR="0055183F">
              <w:rPr>
                <w:noProof/>
                <w:webHidden/>
              </w:rPr>
              <w:tab/>
            </w:r>
            <w:r w:rsidR="0055183F">
              <w:rPr>
                <w:noProof/>
                <w:webHidden/>
              </w:rPr>
              <w:fldChar w:fldCharType="begin"/>
            </w:r>
            <w:r w:rsidR="0055183F">
              <w:rPr>
                <w:noProof/>
                <w:webHidden/>
              </w:rPr>
              <w:instrText xml:space="preserve"> PAGEREF _Toc103249340 \h </w:instrText>
            </w:r>
            <w:r w:rsidR="0055183F">
              <w:rPr>
                <w:noProof/>
                <w:webHidden/>
              </w:rPr>
            </w:r>
            <w:r w:rsidR="0055183F">
              <w:rPr>
                <w:noProof/>
                <w:webHidden/>
              </w:rPr>
              <w:fldChar w:fldCharType="separate"/>
            </w:r>
            <w:r w:rsidR="004C3B40">
              <w:rPr>
                <w:noProof/>
                <w:webHidden/>
              </w:rPr>
              <w:t>7</w:t>
            </w:r>
            <w:r w:rsidR="0055183F">
              <w:rPr>
                <w:noProof/>
                <w:webHidden/>
              </w:rPr>
              <w:fldChar w:fldCharType="end"/>
            </w:r>
          </w:hyperlink>
        </w:p>
        <w:p w14:paraId="1B4EB12F" w14:textId="77777777" w:rsidR="00FD1591" w:rsidRDefault="000C74B4">
          <w:r>
            <w:fldChar w:fldCharType="end"/>
          </w:r>
        </w:p>
      </w:sdtContent>
    </w:sdt>
    <w:p w14:paraId="34F00FBF" w14:textId="77777777" w:rsidR="00573809" w:rsidRDefault="00573809">
      <w:pPr>
        <w:sectPr w:rsidR="00573809">
          <w:headerReference w:type="default" r:id="rId28"/>
          <w:footerReference w:type="default" r:id="rId29"/>
          <w:pgSz w:w="11906" w:h="16838"/>
          <w:pgMar w:top="1417" w:right="1417" w:bottom="1134" w:left="1417" w:header="708" w:footer="708" w:gutter="0"/>
          <w:pgNumType w:start="1"/>
          <w:cols w:space="720"/>
        </w:sectPr>
      </w:pPr>
    </w:p>
    <w:p w14:paraId="241EABAB" w14:textId="7167862A" w:rsidR="00A0767F" w:rsidRPr="00F43FA2" w:rsidRDefault="008F5989">
      <w:pPr>
        <w:pStyle w:val="1"/>
        <w:rPr>
          <w:sz w:val="28"/>
          <w:szCs w:val="28"/>
          <w:lang w:val="de-DE"/>
        </w:rPr>
      </w:pPr>
      <w:r>
        <w:rPr>
          <w:sz w:val="28"/>
          <w:szCs w:val="28"/>
          <w:lang w:val="de-DE"/>
        </w:rPr>
        <w:lastRenderedPageBreak/>
        <w:t>Einleitung</w:t>
      </w:r>
    </w:p>
    <w:p w14:paraId="47AC81CF" w14:textId="0B2434CE" w:rsidR="00A0767F" w:rsidRPr="00C27A80" w:rsidRDefault="0055183F">
      <w:pPr>
        <w:rPr>
          <w:sz w:val="24"/>
          <w:szCs w:val="24"/>
          <w:lang w:val="de-DE"/>
        </w:rPr>
      </w:pPr>
      <w:r w:rsidRPr="00F43FA2">
        <w:rPr>
          <w:sz w:val="24"/>
          <w:szCs w:val="24"/>
          <w:lang w:val="de-DE"/>
        </w:rPr>
        <w:t xml:space="preserve">Das folgende Handbuch gehört zum intellektuellen Output 2 im Projekt MIG-DHL. </w:t>
      </w:r>
      <w:r w:rsidR="00C27A80" w:rsidRPr="00C27A80">
        <w:rPr>
          <w:sz w:val="24"/>
          <w:szCs w:val="24"/>
          <w:lang w:val="de-DE"/>
        </w:rPr>
        <w:t xml:space="preserve">Jedes Modul hat ein jeweils eigenes Handbuch. Folgende Module umfasst das </w:t>
      </w:r>
      <w:r w:rsidR="00C27A80">
        <w:rPr>
          <w:sz w:val="24"/>
          <w:szCs w:val="24"/>
          <w:lang w:val="de-DE"/>
        </w:rPr>
        <w:t>Trainingsprogramm:</w:t>
      </w:r>
    </w:p>
    <w:p w14:paraId="3FFCAF00" w14:textId="6D8CCAA1" w:rsidR="00A0767F" w:rsidRPr="00F43FA2" w:rsidRDefault="0055183F">
      <w:pPr>
        <w:numPr>
          <w:ilvl w:val="0"/>
          <w:numId w:val="1"/>
        </w:numPr>
        <w:pBdr>
          <w:top w:val="nil"/>
          <w:left w:val="nil"/>
          <w:bottom w:val="nil"/>
          <w:right w:val="nil"/>
          <w:between w:val="nil"/>
        </w:pBdr>
        <w:spacing w:after="0"/>
        <w:rPr>
          <w:b/>
          <w:color w:val="000000"/>
          <w:sz w:val="24"/>
          <w:szCs w:val="24"/>
          <w:lang w:val="de-DE"/>
        </w:rPr>
      </w:pPr>
      <w:r w:rsidRPr="00F43FA2">
        <w:rPr>
          <w:b/>
          <w:color w:val="000000"/>
          <w:sz w:val="24"/>
          <w:szCs w:val="24"/>
          <w:lang w:val="de-DE"/>
        </w:rPr>
        <w:t xml:space="preserve">Was ist digitale Gesundheitskompetenz und </w:t>
      </w:r>
      <w:r w:rsidR="00A879BA">
        <w:rPr>
          <w:b/>
          <w:color w:val="000000"/>
          <w:sz w:val="24"/>
          <w:szCs w:val="24"/>
          <w:lang w:val="de-DE"/>
        </w:rPr>
        <w:t>ihre Bedeutung</w:t>
      </w:r>
      <w:r w:rsidRPr="00F43FA2">
        <w:rPr>
          <w:b/>
          <w:color w:val="000000"/>
          <w:sz w:val="24"/>
          <w:szCs w:val="24"/>
          <w:lang w:val="de-DE"/>
        </w:rPr>
        <w:t>?</w:t>
      </w:r>
    </w:p>
    <w:p w14:paraId="5BD273CE" w14:textId="10F487E7" w:rsidR="00A0767F" w:rsidRPr="00F43FA2" w:rsidRDefault="0055183F">
      <w:pPr>
        <w:numPr>
          <w:ilvl w:val="0"/>
          <w:numId w:val="1"/>
        </w:numPr>
        <w:pBdr>
          <w:top w:val="nil"/>
          <w:left w:val="nil"/>
          <w:bottom w:val="nil"/>
          <w:right w:val="nil"/>
          <w:between w:val="nil"/>
        </w:pBdr>
        <w:spacing w:after="0"/>
        <w:rPr>
          <w:color w:val="000000"/>
          <w:sz w:val="24"/>
          <w:szCs w:val="24"/>
          <w:lang w:val="de-DE"/>
        </w:rPr>
      </w:pPr>
      <w:r w:rsidRPr="00F43FA2">
        <w:rPr>
          <w:color w:val="000000"/>
          <w:sz w:val="24"/>
          <w:szCs w:val="24"/>
          <w:lang w:val="de-DE"/>
        </w:rPr>
        <w:t xml:space="preserve">Die wichtigsten Gesundheitsfragen bei der </w:t>
      </w:r>
      <w:r w:rsidR="00A879BA">
        <w:rPr>
          <w:color w:val="000000"/>
          <w:sz w:val="24"/>
          <w:szCs w:val="24"/>
          <w:lang w:val="de-DE"/>
        </w:rPr>
        <w:t>Ankunft</w:t>
      </w:r>
      <w:r w:rsidRPr="00F43FA2">
        <w:rPr>
          <w:color w:val="000000"/>
          <w:sz w:val="24"/>
          <w:szCs w:val="24"/>
          <w:lang w:val="de-DE"/>
        </w:rPr>
        <w:t xml:space="preserve"> in einem neuen Land</w:t>
      </w:r>
    </w:p>
    <w:p w14:paraId="33B199C0" w14:textId="3C61B5E2" w:rsidR="00A0767F" w:rsidRDefault="00A879BA">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Das </w:t>
      </w:r>
      <w:proofErr w:type="spellStart"/>
      <w:r>
        <w:rPr>
          <w:color w:val="000000"/>
          <w:sz w:val="24"/>
          <w:szCs w:val="24"/>
        </w:rPr>
        <w:t>nationale</w:t>
      </w:r>
      <w:proofErr w:type="spellEnd"/>
      <w:r>
        <w:rPr>
          <w:color w:val="000000"/>
          <w:sz w:val="24"/>
          <w:szCs w:val="24"/>
        </w:rPr>
        <w:t xml:space="preserve"> </w:t>
      </w:r>
      <w:proofErr w:type="spellStart"/>
      <w:r>
        <w:rPr>
          <w:color w:val="000000"/>
          <w:sz w:val="24"/>
          <w:szCs w:val="24"/>
        </w:rPr>
        <w:t>Gesundheitssystem</w:t>
      </w:r>
      <w:proofErr w:type="spellEnd"/>
    </w:p>
    <w:p w14:paraId="3F643484" w14:textId="77777777" w:rsidR="00A0767F" w:rsidRDefault="0055183F">
      <w:pPr>
        <w:numPr>
          <w:ilvl w:val="0"/>
          <w:numId w:val="1"/>
        </w:numPr>
        <w:pBdr>
          <w:top w:val="nil"/>
          <w:left w:val="nil"/>
          <w:bottom w:val="nil"/>
          <w:right w:val="nil"/>
          <w:between w:val="nil"/>
        </w:pBdr>
        <w:spacing w:after="0"/>
        <w:rPr>
          <w:color w:val="000000"/>
          <w:sz w:val="24"/>
          <w:szCs w:val="24"/>
        </w:rPr>
      </w:pPr>
      <w:proofErr w:type="spellStart"/>
      <w:r>
        <w:rPr>
          <w:color w:val="000000"/>
          <w:sz w:val="24"/>
          <w:szCs w:val="24"/>
        </w:rPr>
        <w:t>Digitale</w:t>
      </w:r>
      <w:proofErr w:type="spellEnd"/>
      <w:r>
        <w:rPr>
          <w:color w:val="000000"/>
          <w:sz w:val="24"/>
          <w:szCs w:val="24"/>
        </w:rPr>
        <w:t xml:space="preserve"> </w:t>
      </w:r>
      <w:proofErr w:type="spellStart"/>
      <w:r>
        <w:rPr>
          <w:color w:val="000000"/>
          <w:sz w:val="24"/>
          <w:szCs w:val="24"/>
        </w:rPr>
        <w:t>Kompetenz</w:t>
      </w:r>
      <w:proofErr w:type="spellEnd"/>
      <w:r>
        <w:rPr>
          <w:color w:val="000000"/>
          <w:sz w:val="24"/>
          <w:szCs w:val="24"/>
        </w:rPr>
        <w:t xml:space="preserve"> </w:t>
      </w:r>
      <w:proofErr w:type="spellStart"/>
      <w:r>
        <w:rPr>
          <w:color w:val="000000"/>
          <w:sz w:val="24"/>
          <w:szCs w:val="24"/>
        </w:rPr>
        <w:t>entwickeln</w:t>
      </w:r>
      <w:proofErr w:type="spellEnd"/>
    </w:p>
    <w:p w14:paraId="023F76A9" w14:textId="4BDD803F" w:rsidR="00A0767F" w:rsidRPr="00A879BA" w:rsidRDefault="00A879BA">
      <w:pPr>
        <w:numPr>
          <w:ilvl w:val="0"/>
          <w:numId w:val="1"/>
        </w:numPr>
        <w:pBdr>
          <w:top w:val="nil"/>
          <w:left w:val="nil"/>
          <w:bottom w:val="nil"/>
          <w:right w:val="nil"/>
          <w:between w:val="nil"/>
        </w:pBdr>
        <w:spacing w:after="0"/>
        <w:rPr>
          <w:color w:val="000000"/>
          <w:sz w:val="24"/>
          <w:szCs w:val="24"/>
          <w:lang w:val="de-DE"/>
        </w:rPr>
      </w:pPr>
      <w:r w:rsidRPr="00A879BA">
        <w:rPr>
          <w:color w:val="000000"/>
          <w:sz w:val="24"/>
          <w:szCs w:val="24"/>
          <w:lang w:val="de-DE"/>
        </w:rPr>
        <w:t>Das nationale Gesundheitssystem im I</w:t>
      </w:r>
      <w:r>
        <w:rPr>
          <w:color w:val="000000"/>
          <w:sz w:val="24"/>
          <w:szCs w:val="24"/>
          <w:lang w:val="de-DE"/>
        </w:rPr>
        <w:t>nternet erkunden</w:t>
      </w:r>
    </w:p>
    <w:p w14:paraId="57B7E88A" w14:textId="6E496859" w:rsidR="00A0767F" w:rsidRPr="00A879BA" w:rsidRDefault="00A879BA">
      <w:pPr>
        <w:numPr>
          <w:ilvl w:val="0"/>
          <w:numId w:val="1"/>
        </w:numPr>
        <w:pBdr>
          <w:top w:val="nil"/>
          <w:left w:val="nil"/>
          <w:bottom w:val="nil"/>
          <w:right w:val="nil"/>
          <w:between w:val="nil"/>
        </w:pBdr>
        <w:rPr>
          <w:color w:val="000000"/>
          <w:sz w:val="24"/>
          <w:szCs w:val="24"/>
          <w:lang w:val="de-DE"/>
        </w:rPr>
      </w:pPr>
      <w:r>
        <w:rPr>
          <w:color w:val="000000"/>
          <w:sz w:val="24"/>
          <w:szCs w:val="24"/>
          <w:lang w:val="de-DE"/>
        </w:rPr>
        <w:t>Digitale Aktivitäten zu Gesundheitsthemen</w:t>
      </w:r>
    </w:p>
    <w:p w14:paraId="4560EA59" w14:textId="061253B6" w:rsidR="00A0767F" w:rsidRPr="00F43FA2" w:rsidRDefault="0055183F">
      <w:pPr>
        <w:rPr>
          <w:sz w:val="24"/>
          <w:szCs w:val="24"/>
          <w:lang w:val="de-DE"/>
        </w:rPr>
      </w:pPr>
      <w:r w:rsidRPr="00F43FA2">
        <w:rPr>
          <w:sz w:val="24"/>
          <w:szCs w:val="24"/>
          <w:lang w:val="de-DE"/>
        </w:rPr>
        <w:t xml:space="preserve">Das Handbuch selbst richtet sich speziell an </w:t>
      </w:r>
      <w:proofErr w:type="spellStart"/>
      <w:proofErr w:type="gramStart"/>
      <w:r w:rsidRPr="00F43FA2">
        <w:rPr>
          <w:sz w:val="24"/>
          <w:szCs w:val="24"/>
          <w:lang w:val="de-DE"/>
        </w:rPr>
        <w:t>Ausbilder</w:t>
      </w:r>
      <w:r w:rsidR="008F5989">
        <w:rPr>
          <w:sz w:val="24"/>
          <w:szCs w:val="24"/>
          <w:lang w:val="de-DE"/>
        </w:rPr>
        <w:t>:innen</w:t>
      </w:r>
      <w:proofErr w:type="spellEnd"/>
      <w:proofErr w:type="gramEnd"/>
      <w:r w:rsidR="008F5989">
        <w:rPr>
          <w:sz w:val="24"/>
          <w:szCs w:val="24"/>
          <w:lang w:val="de-DE"/>
        </w:rPr>
        <w:t xml:space="preserve"> und Unterstützende </w:t>
      </w:r>
      <w:r w:rsidRPr="00F43FA2">
        <w:rPr>
          <w:sz w:val="24"/>
          <w:szCs w:val="24"/>
          <w:lang w:val="de-DE"/>
        </w:rPr>
        <w:t xml:space="preserve"> (Sozialarbeiter, Gesundheitsfachkräfte usw.)</w:t>
      </w:r>
      <w:r w:rsidR="008F5989">
        <w:rPr>
          <w:sz w:val="24"/>
          <w:szCs w:val="24"/>
          <w:lang w:val="de-DE"/>
        </w:rPr>
        <w:t xml:space="preserve"> von </w:t>
      </w:r>
      <w:proofErr w:type="spellStart"/>
      <w:r w:rsidR="008F5989">
        <w:rPr>
          <w:sz w:val="24"/>
          <w:szCs w:val="24"/>
          <w:lang w:val="de-DE"/>
        </w:rPr>
        <w:t>Migrant:inne</w:t>
      </w:r>
      <w:r w:rsidR="00A879BA">
        <w:rPr>
          <w:sz w:val="24"/>
          <w:szCs w:val="24"/>
          <w:lang w:val="de-DE"/>
        </w:rPr>
        <w:t>n</w:t>
      </w:r>
      <w:proofErr w:type="spellEnd"/>
      <w:r w:rsidRPr="00F43FA2">
        <w:rPr>
          <w:sz w:val="24"/>
          <w:szCs w:val="24"/>
          <w:lang w:val="de-DE"/>
        </w:rPr>
        <w:t>. Die Idee ist, ein tieferes Wissen über die in den Schulungen besprochenen Themen zu vermitteln, so dass der Inhalt de</w:t>
      </w:r>
      <w:r w:rsidR="008F5989">
        <w:rPr>
          <w:sz w:val="24"/>
          <w:szCs w:val="24"/>
          <w:lang w:val="de-DE"/>
        </w:rPr>
        <w:t>r</w:t>
      </w:r>
      <w:r w:rsidRPr="00F43FA2">
        <w:rPr>
          <w:sz w:val="24"/>
          <w:szCs w:val="24"/>
          <w:lang w:val="de-DE"/>
        </w:rPr>
        <w:t xml:space="preserve"> Schulungsmaterial</w:t>
      </w:r>
      <w:r w:rsidR="008F5989">
        <w:rPr>
          <w:sz w:val="24"/>
          <w:szCs w:val="24"/>
          <w:lang w:val="de-DE"/>
        </w:rPr>
        <w:t>ien</w:t>
      </w:r>
      <w:r w:rsidRPr="00F43FA2">
        <w:rPr>
          <w:sz w:val="24"/>
          <w:szCs w:val="24"/>
          <w:lang w:val="de-DE"/>
        </w:rPr>
        <w:t xml:space="preserve"> </w:t>
      </w:r>
      <w:r w:rsidR="008F5989">
        <w:rPr>
          <w:sz w:val="24"/>
          <w:szCs w:val="24"/>
          <w:lang w:val="de-DE"/>
        </w:rPr>
        <w:t>für die Schulungsleitung deutlicher</w:t>
      </w:r>
      <w:r w:rsidRPr="00F43FA2">
        <w:rPr>
          <w:sz w:val="24"/>
          <w:szCs w:val="24"/>
          <w:lang w:val="de-DE"/>
        </w:rPr>
        <w:t xml:space="preserve"> wird. </w:t>
      </w:r>
      <w:r w:rsidR="008F5989">
        <w:rPr>
          <w:sz w:val="24"/>
          <w:szCs w:val="24"/>
          <w:lang w:val="de-DE"/>
        </w:rPr>
        <w:t>Ergänzend dazu dient das Handbuch dazu, Frag</w:t>
      </w:r>
      <w:r w:rsidRPr="00F43FA2">
        <w:rPr>
          <w:sz w:val="24"/>
          <w:szCs w:val="24"/>
          <w:lang w:val="de-DE"/>
        </w:rPr>
        <w:t>en zu beantworten, die detaillierter sind als die in den Schulungsunterlagen enthaltenen Informationen. Daher bietet dieses Handbuch vertieftes Wissen und Verweise auf zusätzliche Ressourcen zu den Inhalten - i</w:t>
      </w:r>
      <w:r w:rsidR="008F5989">
        <w:rPr>
          <w:sz w:val="24"/>
          <w:szCs w:val="24"/>
          <w:lang w:val="de-DE"/>
        </w:rPr>
        <w:t>n erster Linie für die Schulungsleitungen</w:t>
      </w:r>
      <w:r w:rsidRPr="00F43FA2">
        <w:rPr>
          <w:sz w:val="24"/>
          <w:szCs w:val="24"/>
          <w:lang w:val="de-DE"/>
        </w:rPr>
        <w:t>, aber natürlich auch für alle anderen Personen, die mehr über die Themen erfahren möchten.</w:t>
      </w:r>
    </w:p>
    <w:p w14:paraId="320B3E9C" w14:textId="77777777" w:rsidR="00A0767F" w:rsidRPr="00F43FA2" w:rsidRDefault="0055183F">
      <w:pPr>
        <w:rPr>
          <w:sz w:val="24"/>
          <w:szCs w:val="24"/>
          <w:lang w:val="de-DE"/>
        </w:rPr>
      </w:pPr>
      <w:r w:rsidRPr="00F43FA2">
        <w:rPr>
          <w:sz w:val="24"/>
          <w:szCs w:val="24"/>
          <w:lang w:val="de-DE"/>
        </w:rPr>
        <w:t>Die Struktur des Handbuchs orientiert sich an der Struktur des Ausbildungsprogramms. Jedes Modul hat ein Kapitel von etwa 6-8 Seiten.</w:t>
      </w:r>
    </w:p>
    <w:p w14:paraId="746DBE2F" w14:textId="2D964FFD" w:rsidR="00A0767F" w:rsidRPr="00F43FA2" w:rsidRDefault="008F5989">
      <w:pPr>
        <w:rPr>
          <w:sz w:val="24"/>
          <w:szCs w:val="24"/>
          <w:lang w:val="de-DE"/>
        </w:rPr>
      </w:pPr>
      <w:r>
        <w:rPr>
          <w:sz w:val="24"/>
          <w:szCs w:val="24"/>
          <w:lang w:val="de-DE"/>
        </w:rPr>
        <w:t xml:space="preserve">Dieses </w:t>
      </w:r>
      <w:r w:rsidR="0055183F" w:rsidRPr="00F43FA2">
        <w:rPr>
          <w:sz w:val="24"/>
          <w:szCs w:val="24"/>
          <w:lang w:val="de-DE"/>
        </w:rPr>
        <w:t xml:space="preserve">Handbuch enthält Informationen zu </w:t>
      </w:r>
      <w:r w:rsidR="0055183F" w:rsidRPr="00F43FA2">
        <w:rPr>
          <w:b/>
          <w:sz w:val="24"/>
          <w:szCs w:val="24"/>
          <w:lang w:val="de-DE"/>
        </w:rPr>
        <w:t>Modul 1</w:t>
      </w:r>
      <w:r>
        <w:rPr>
          <w:b/>
          <w:sz w:val="24"/>
          <w:szCs w:val="24"/>
          <w:lang w:val="de-DE"/>
        </w:rPr>
        <w:t xml:space="preserve"> „Was ist digitale Gesundheitskompetenz?</w:t>
      </w:r>
      <w:r>
        <w:rPr>
          <w:sz w:val="24"/>
          <w:szCs w:val="24"/>
          <w:lang w:val="de-DE"/>
        </w:rPr>
        <w:t>“, das heißt, alle</w:t>
      </w:r>
      <w:r w:rsidR="0055183F" w:rsidRPr="00F43FA2">
        <w:rPr>
          <w:sz w:val="24"/>
          <w:szCs w:val="24"/>
          <w:lang w:val="de-DE"/>
        </w:rPr>
        <w:t xml:space="preserve"> notwendigen theoretischen Informationen zur Unterstützung der Inhalte und Aktivitäten von DPTA_1.</w:t>
      </w:r>
    </w:p>
    <w:p w14:paraId="1D579832" w14:textId="5B8FDC6C" w:rsidR="00A0767F" w:rsidRPr="008F5989" w:rsidRDefault="0055183F" w:rsidP="008F5989">
      <w:pPr>
        <w:rPr>
          <w:sz w:val="24"/>
          <w:szCs w:val="24"/>
          <w:lang w:val="de-DE"/>
        </w:rPr>
      </w:pPr>
      <w:r w:rsidRPr="00F43FA2">
        <w:rPr>
          <w:sz w:val="24"/>
          <w:szCs w:val="24"/>
          <w:lang w:val="de-DE"/>
        </w:rPr>
        <w:t>M</w:t>
      </w:r>
      <w:r w:rsidR="008F5989">
        <w:rPr>
          <w:sz w:val="24"/>
          <w:szCs w:val="24"/>
          <w:lang w:val="de-DE"/>
        </w:rPr>
        <w:t xml:space="preserve">odul 1 hat einen </w:t>
      </w:r>
      <w:r w:rsidRPr="00F43FA2">
        <w:rPr>
          <w:sz w:val="24"/>
          <w:szCs w:val="24"/>
          <w:lang w:val="de-DE"/>
        </w:rPr>
        <w:t>einführenden Charakter und zielt darauf ab, die Inhalte des Kurses auf praktische Art und Weise zu präsentieren</w:t>
      </w:r>
      <w:r w:rsidR="008F5989">
        <w:rPr>
          <w:sz w:val="24"/>
          <w:szCs w:val="24"/>
          <w:lang w:val="de-DE"/>
        </w:rPr>
        <w:t xml:space="preserve">. </w:t>
      </w:r>
      <w:r w:rsidR="009A6743">
        <w:rPr>
          <w:sz w:val="24"/>
          <w:szCs w:val="24"/>
          <w:lang w:val="de-DE"/>
        </w:rPr>
        <w:t>Zunächst wird das Erasmus+ Programm vorgestellt</w:t>
      </w:r>
      <w:r w:rsidR="008F5989">
        <w:rPr>
          <w:sz w:val="24"/>
          <w:szCs w:val="24"/>
          <w:lang w:val="de-DE"/>
        </w:rPr>
        <w:t>. D</w:t>
      </w:r>
      <w:r w:rsidR="009A6743">
        <w:rPr>
          <w:sz w:val="24"/>
          <w:szCs w:val="24"/>
          <w:lang w:val="de-DE"/>
        </w:rPr>
        <w:t>anach</w:t>
      </w:r>
      <w:r w:rsidR="008F5989">
        <w:rPr>
          <w:sz w:val="24"/>
          <w:szCs w:val="24"/>
          <w:lang w:val="de-DE"/>
        </w:rPr>
        <w:t xml:space="preserve"> folgt eine Erläuterung des Konzeptes </w:t>
      </w:r>
      <w:r w:rsidRPr="00F43FA2">
        <w:rPr>
          <w:sz w:val="24"/>
          <w:szCs w:val="24"/>
          <w:lang w:val="de-DE"/>
        </w:rPr>
        <w:t>der digitalen Gesundheitskompe</w:t>
      </w:r>
      <w:r w:rsidR="009A6743">
        <w:rPr>
          <w:sz w:val="24"/>
          <w:szCs w:val="24"/>
          <w:lang w:val="de-DE"/>
        </w:rPr>
        <w:t xml:space="preserve">tenz sowie die </w:t>
      </w:r>
      <w:proofErr w:type="gramStart"/>
      <w:r w:rsidR="009A6743">
        <w:rPr>
          <w:sz w:val="24"/>
          <w:szCs w:val="24"/>
          <w:lang w:val="de-DE"/>
        </w:rPr>
        <w:t xml:space="preserve">Bedeutung </w:t>
      </w:r>
      <w:r w:rsidR="008F5989">
        <w:rPr>
          <w:sz w:val="24"/>
          <w:szCs w:val="24"/>
          <w:lang w:val="de-DE"/>
        </w:rPr>
        <w:t xml:space="preserve"> warum</w:t>
      </w:r>
      <w:proofErr w:type="gramEnd"/>
      <w:r w:rsidR="008F5989">
        <w:rPr>
          <w:sz w:val="24"/>
          <w:szCs w:val="24"/>
          <w:lang w:val="de-DE"/>
        </w:rPr>
        <w:t xml:space="preserve"> dies für </w:t>
      </w:r>
      <w:proofErr w:type="spellStart"/>
      <w:r w:rsidR="008F5989">
        <w:rPr>
          <w:sz w:val="24"/>
          <w:szCs w:val="24"/>
          <w:lang w:val="de-DE"/>
        </w:rPr>
        <w:t>Migrant:inne</w:t>
      </w:r>
      <w:r w:rsidRPr="00F43FA2">
        <w:rPr>
          <w:sz w:val="24"/>
          <w:szCs w:val="24"/>
          <w:lang w:val="de-DE"/>
        </w:rPr>
        <w:t>n</w:t>
      </w:r>
      <w:proofErr w:type="spellEnd"/>
      <w:r w:rsidRPr="00F43FA2">
        <w:rPr>
          <w:sz w:val="24"/>
          <w:szCs w:val="24"/>
          <w:lang w:val="de-DE"/>
        </w:rPr>
        <w:t xml:space="preserve"> relevant ist.</w:t>
      </w:r>
      <w:r w:rsidRPr="00F43FA2">
        <w:rPr>
          <w:lang w:val="de-DE"/>
        </w:rPr>
        <w:br w:type="page"/>
      </w:r>
      <w:bookmarkStart w:id="3" w:name="_Toc103249336"/>
      <w:bookmarkEnd w:id="3"/>
    </w:p>
    <w:p w14:paraId="44767FBE" w14:textId="5D9571C0" w:rsidR="00A0767F" w:rsidRPr="00F43FA2" w:rsidRDefault="0055183F" w:rsidP="008F5989">
      <w:pPr>
        <w:pStyle w:val="1"/>
        <w:rPr>
          <w:lang w:val="de-DE"/>
        </w:rPr>
      </w:pPr>
      <w:bookmarkStart w:id="4" w:name="_Toc103249337"/>
      <w:r w:rsidRPr="00F43FA2">
        <w:rPr>
          <w:lang w:val="de-DE"/>
        </w:rPr>
        <w:lastRenderedPageBreak/>
        <w:t xml:space="preserve">1.1 Das ERASMUS+ Programm </w:t>
      </w:r>
      <w:bookmarkEnd w:id="4"/>
    </w:p>
    <w:p w14:paraId="110F841A" w14:textId="1B2DDDF3" w:rsidR="00A0767F" w:rsidRPr="00F43FA2" w:rsidRDefault="0055183F">
      <w:pPr>
        <w:rPr>
          <w:sz w:val="24"/>
          <w:szCs w:val="24"/>
          <w:lang w:val="de-DE"/>
        </w:rPr>
      </w:pPr>
      <w:r w:rsidRPr="00F43FA2">
        <w:rPr>
          <w:sz w:val="24"/>
          <w:szCs w:val="24"/>
          <w:lang w:val="de-DE"/>
        </w:rPr>
        <w:t xml:space="preserve">Erasmus+ ist das EU-Programm in den Bereichen allgemeine und berufliche Bildung, Jugend und Sport für den Zeitraum 2021-2027. Allgemeine und berufliche Bildung, Jugend und Sport sind Schlüsselbereiche, </w:t>
      </w:r>
      <w:r w:rsidR="005F3AEB">
        <w:rPr>
          <w:sz w:val="24"/>
          <w:szCs w:val="24"/>
          <w:lang w:val="de-DE"/>
        </w:rPr>
        <w:t xml:space="preserve">in denen </w:t>
      </w:r>
      <w:r w:rsidRPr="00F43FA2">
        <w:rPr>
          <w:sz w:val="24"/>
          <w:szCs w:val="24"/>
          <w:lang w:val="de-DE"/>
        </w:rPr>
        <w:t xml:space="preserve">die </w:t>
      </w:r>
      <w:proofErr w:type="spellStart"/>
      <w:proofErr w:type="gramStart"/>
      <w:r w:rsidRPr="00F43FA2">
        <w:rPr>
          <w:sz w:val="24"/>
          <w:szCs w:val="24"/>
          <w:lang w:val="de-DE"/>
        </w:rPr>
        <w:t>Bürger</w:t>
      </w:r>
      <w:r w:rsidR="005F3AEB">
        <w:rPr>
          <w:sz w:val="24"/>
          <w:szCs w:val="24"/>
          <w:lang w:val="de-DE"/>
        </w:rPr>
        <w:t>:innen</w:t>
      </w:r>
      <w:proofErr w:type="spellEnd"/>
      <w:proofErr w:type="gramEnd"/>
      <w:r w:rsidRPr="00F43FA2">
        <w:rPr>
          <w:sz w:val="24"/>
          <w:szCs w:val="24"/>
          <w:lang w:val="de-DE"/>
        </w:rPr>
        <w:t xml:space="preserve"> in ihrer persönlichen und beru</w:t>
      </w:r>
      <w:r w:rsidR="005F3AEB">
        <w:rPr>
          <w:sz w:val="24"/>
          <w:szCs w:val="24"/>
          <w:lang w:val="de-DE"/>
        </w:rPr>
        <w:t>flichen Entwicklung unterstützt werden sollen</w:t>
      </w:r>
      <w:r w:rsidRPr="00F43FA2">
        <w:rPr>
          <w:sz w:val="24"/>
          <w:szCs w:val="24"/>
          <w:lang w:val="de-DE"/>
        </w:rPr>
        <w:t>. Eine hochwertige, integrative allgemeine Bildung sowie informelles und nicht-formales Lernen</w:t>
      </w:r>
      <w:r w:rsidR="005F3AEB">
        <w:rPr>
          <w:sz w:val="24"/>
          <w:szCs w:val="24"/>
          <w:lang w:val="de-DE"/>
        </w:rPr>
        <w:t xml:space="preserve"> sollen </w:t>
      </w:r>
      <w:r w:rsidRPr="00F43FA2">
        <w:rPr>
          <w:sz w:val="24"/>
          <w:szCs w:val="24"/>
          <w:lang w:val="de-DE"/>
        </w:rPr>
        <w:t>Teilnehm</w:t>
      </w:r>
      <w:r w:rsidR="005F3AEB">
        <w:rPr>
          <w:sz w:val="24"/>
          <w:szCs w:val="24"/>
          <w:lang w:val="de-DE"/>
        </w:rPr>
        <w:t>e</w:t>
      </w:r>
      <w:r w:rsidRPr="00F43FA2">
        <w:rPr>
          <w:sz w:val="24"/>
          <w:szCs w:val="24"/>
          <w:lang w:val="de-DE"/>
        </w:rPr>
        <w:t>n</w:t>
      </w:r>
      <w:r w:rsidR="005F3AEB">
        <w:rPr>
          <w:sz w:val="24"/>
          <w:szCs w:val="24"/>
          <w:lang w:val="de-DE"/>
        </w:rPr>
        <w:t>den</w:t>
      </w:r>
      <w:r w:rsidRPr="00F43FA2">
        <w:rPr>
          <w:sz w:val="24"/>
          <w:szCs w:val="24"/>
          <w:lang w:val="de-DE"/>
        </w:rPr>
        <w:t xml:space="preserve"> aller Altersgruppen die Qualifikationen und Fähigkeiten, die sie für eine sinnvolle Teilhabe an der demokratischen Gesellschaft, </w:t>
      </w:r>
      <w:r w:rsidR="005F3AEB">
        <w:rPr>
          <w:sz w:val="24"/>
          <w:szCs w:val="24"/>
          <w:lang w:val="de-DE"/>
        </w:rPr>
        <w:t xml:space="preserve">näherbringen. </w:t>
      </w:r>
      <w:r w:rsidRPr="00F43FA2">
        <w:rPr>
          <w:sz w:val="24"/>
          <w:szCs w:val="24"/>
          <w:lang w:val="de-DE"/>
        </w:rPr>
        <w:t xml:space="preserve">Aufbauend auf dem Erfolg des Programms im Zeitraum 2014-2020 verstärkt Erasmus+ seine Bemühungen, die Möglichkeiten für mehr </w:t>
      </w:r>
      <w:proofErr w:type="spellStart"/>
      <w:proofErr w:type="gramStart"/>
      <w:r w:rsidRPr="00F43FA2">
        <w:rPr>
          <w:sz w:val="24"/>
          <w:szCs w:val="24"/>
          <w:lang w:val="de-DE"/>
        </w:rPr>
        <w:t>Teilnehmer</w:t>
      </w:r>
      <w:r w:rsidR="005F3AEB">
        <w:rPr>
          <w:sz w:val="24"/>
          <w:szCs w:val="24"/>
          <w:lang w:val="de-DE"/>
        </w:rPr>
        <w:t>:innen</w:t>
      </w:r>
      <w:proofErr w:type="spellEnd"/>
      <w:proofErr w:type="gramEnd"/>
      <w:r w:rsidRPr="00F43FA2">
        <w:rPr>
          <w:sz w:val="24"/>
          <w:szCs w:val="24"/>
          <w:lang w:val="de-DE"/>
        </w:rPr>
        <w:t xml:space="preserve"> und Organisationen zu erweitern</w:t>
      </w:r>
      <w:r w:rsidR="005F3AEB">
        <w:rPr>
          <w:sz w:val="24"/>
          <w:szCs w:val="24"/>
          <w:lang w:val="de-DE"/>
        </w:rPr>
        <w:t xml:space="preserve"> und so</w:t>
      </w:r>
      <w:r w:rsidRPr="00F43FA2">
        <w:rPr>
          <w:sz w:val="24"/>
          <w:szCs w:val="24"/>
          <w:lang w:val="de-DE"/>
        </w:rPr>
        <w:t xml:space="preserve"> ein</w:t>
      </w:r>
      <w:r w:rsidR="005F3AEB">
        <w:rPr>
          <w:sz w:val="24"/>
          <w:szCs w:val="24"/>
          <w:lang w:val="de-DE"/>
        </w:rPr>
        <w:t>en</w:t>
      </w:r>
      <w:r w:rsidRPr="00F43FA2">
        <w:rPr>
          <w:sz w:val="24"/>
          <w:szCs w:val="24"/>
          <w:lang w:val="de-DE"/>
        </w:rPr>
        <w:t xml:space="preserve"> Beitrag zu </w:t>
      </w:r>
      <w:r w:rsidR="005F3AEB">
        <w:rPr>
          <w:sz w:val="24"/>
          <w:szCs w:val="24"/>
          <w:lang w:val="de-DE"/>
        </w:rPr>
        <w:t xml:space="preserve">einer </w:t>
      </w:r>
      <w:r w:rsidRPr="00F43FA2">
        <w:rPr>
          <w:sz w:val="24"/>
          <w:szCs w:val="24"/>
          <w:lang w:val="de-DE"/>
        </w:rPr>
        <w:t>integrativeren, umweltfreundlicheren und digital fit</w:t>
      </w:r>
      <w:r w:rsidR="005F3AEB">
        <w:rPr>
          <w:sz w:val="24"/>
          <w:szCs w:val="24"/>
          <w:lang w:val="de-DE"/>
        </w:rPr>
        <w:t>t</w:t>
      </w:r>
      <w:r w:rsidRPr="00F43FA2">
        <w:rPr>
          <w:sz w:val="24"/>
          <w:szCs w:val="24"/>
          <w:lang w:val="de-DE"/>
        </w:rPr>
        <w:t xml:space="preserve">eren Gesellschaften </w:t>
      </w:r>
      <w:r w:rsidR="005F3AEB">
        <w:rPr>
          <w:sz w:val="24"/>
          <w:szCs w:val="24"/>
          <w:lang w:val="de-DE"/>
        </w:rPr>
        <w:t>zu leisten.</w:t>
      </w:r>
      <w:r w:rsidRPr="00F43FA2">
        <w:rPr>
          <w:sz w:val="24"/>
          <w:szCs w:val="24"/>
          <w:lang w:val="de-DE"/>
        </w:rPr>
        <w:t xml:space="preserve"> </w:t>
      </w:r>
    </w:p>
    <w:p w14:paraId="1B4B9863" w14:textId="35D9423D" w:rsidR="00A0767F" w:rsidRPr="00F43FA2" w:rsidRDefault="0055183F">
      <w:pPr>
        <w:rPr>
          <w:sz w:val="24"/>
          <w:szCs w:val="24"/>
          <w:lang w:val="de-DE"/>
        </w:rPr>
      </w:pPr>
      <w:r w:rsidRPr="00F43FA2">
        <w:rPr>
          <w:sz w:val="24"/>
          <w:szCs w:val="24"/>
          <w:lang w:val="de-DE"/>
        </w:rPr>
        <w:t xml:space="preserve">Wie die COVID-19-Pandemie gezeigt hat, ist der Zugang zur Bildung mehr denn je von entscheidender Bedeutung. Im Rahmen dieses </w:t>
      </w:r>
      <w:r w:rsidR="005F3AEB">
        <w:rPr>
          <w:sz w:val="24"/>
          <w:szCs w:val="24"/>
          <w:lang w:val="de-DE"/>
        </w:rPr>
        <w:t>Prozesses</w:t>
      </w:r>
      <w:r w:rsidR="00A879BA">
        <w:rPr>
          <w:sz w:val="24"/>
          <w:szCs w:val="24"/>
          <w:lang w:val="de-DE"/>
        </w:rPr>
        <w:t xml:space="preserve"> </w:t>
      </w:r>
      <w:r w:rsidRPr="00F43FA2">
        <w:rPr>
          <w:sz w:val="24"/>
          <w:szCs w:val="24"/>
          <w:lang w:val="de-DE"/>
        </w:rPr>
        <w:t>erweitert das Programm Erasmus+ seine integrative Dimension, indem es Möglichkeiten für die persönliche, sozialpädagogische und berufliche Entwicklung von Menschen in Europa und darüber hinaus fördert</w:t>
      </w:r>
      <w:r w:rsidR="005F3AEB">
        <w:rPr>
          <w:sz w:val="24"/>
          <w:szCs w:val="24"/>
          <w:lang w:val="de-DE"/>
        </w:rPr>
        <w:t>.</w:t>
      </w:r>
      <w:r w:rsidRPr="00F43FA2">
        <w:rPr>
          <w:sz w:val="24"/>
          <w:szCs w:val="24"/>
          <w:lang w:val="de-DE"/>
        </w:rPr>
        <w:t xml:space="preserve"> Um die </w:t>
      </w:r>
      <w:r w:rsidR="005F3AEB">
        <w:rPr>
          <w:sz w:val="24"/>
          <w:szCs w:val="24"/>
          <w:lang w:val="de-DE"/>
        </w:rPr>
        <w:t>Wirkung der Programmaßnahmen zu erhöhen sowie</w:t>
      </w:r>
      <w:r w:rsidRPr="00F43FA2">
        <w:rPr>
          <w:sz w:val="24"/>
          <w:szCs w:val="24"/>
          <w:lang w:val="de-DE"/>
        </w:rPr>
        <w:t xml:space="preserve"> Chancengleichheit </w:t>
      </w:r>
      <w:r w:rsidR="005F3AEB">
        <w:rPr>
          <w:sz w:val="24"/>
          <w:szCs w:val="24"/>
          <w:lang w:val="de-DE"/>
        </w:rPr>
        <w:t xml:space="preserve">bei dem Zugang zu den Maßnahmen </w:t>
      </w:r>
      <w:r w:rsidRPr="00F43FA2">
        <w:rPr>
          <w:sz w:val="24"/>
          <w:szCs w:val="24"/>
          <w:lang w:val="de-DE"/>
        </w:rPr>
        <w:t xml:space="preserve">zu gewährleisten, </w:t>
      </w:r>
      <w:r w:rsidR="005F3AEB">
        <w:rPr>
          <w:sz w:val="24"/>
          <w:szCs w:val="24"/>
          <w:lang w:val="de-DE"/>
        </w:rPr>
        <w:t>steht im Mittelpunkt des Programms</w:t>
      </w:r>
      <w:r w:rsidRPr="00F43FA2">
        <w:rPr>
          <w:sz w:val="24"/>
          <w:szCs w:val="24"/>
          <w:lang w:val="de-DE"/>
        </w:rPr>
        <w:t xml:space="preserve"> die Annäherung an Menschen mit geringeren Möglichkeiten, einschließlich Menschen</w:t>
      </w:r>
      <w:r w:rsidR="005F3AEB">
        <w:rPr>
          <w:sz w:val="24"/>
          <w:szCs w:val="24"/>
          <w:lang w:val="de-DE"/>
        </w:rPr>
        <w:t xml:space="preserve"> mit Behinderungen und </w:t>
      </w:r>
      <w:proofErr w:type="spellStart"/>
      <w:proofErr w:type="gramStart"/>
      <w:r w:rsidR="005F3AEB">
        <w:rPr>
          <w:sz w:val="24"/>
          <w:szCs w:val="24"/>
          <w:lang w:val="de-DE"/>
        </w:rPr>
        <w:t>Migrant:innen</w:t>
      </w:r>
      <w:proofErr w:type="spellEnd"/>
      <w:proofErr w:type="gramEnd"/>
      <w:r w:rsidRPr="00F43FA2">
        <w:rPr>
          <w:sz w:val="24"/>
          <w:szCs w:val="24"/>
          <w:lang w:val="de-DE"/>
        </w:rPr>
        <w:t xml:space="preserve">, sowie an </w:t>
      </w:r>
      <w:proofErr w:type="spellStart"/>
      <w:r w:rsidRPr="00F43FA2">
        <w:rPr>
          <w:sz w:val="24"/>
          <w:szCs w:val="24"/>
          <w:lang w:val="de-DE"/>
        </w:rPr>
        <w:t>Bürger</w:t>
      </w:r>
      <w:r w:rsidR="005F3AEB">
        <w:rPr>
          <w:sz w:val="24"/>
          <w:szCs w:val="24"/>
          <w:lang w:val="de-DE"/>
        </w:rPr>
        <w:t>:innen</w:t>
      </w:r>
      <w:proofErr w:type="spellEnd"/>
      <w:r w:rsidRPr="00F43FA2">
        <w:rPr>
          <w:sz w:val="24"/>
          <w:szCs w:val="24"/>
          <w:lang w:val="de-DE"/>
        </w:rPr>
        <w:t xml:space="preserve"> der Europäischen Union, die in abgelegenen Gebieten leben oder mit sozioökonomischen Schwierigkeiten konfrontiert sind. Dabei </w:t>
      </w:r>
      <w:r w:rsidR="005F3AEB">
        <w:rPr>
          <w:sz w:val="24"/>
          <w:szCs w:val="24"/>
          <w:lang w:val="de-DE"/>
        </w:rPr>
        <w:t xml:space="preserve">sollen im Rahmen des Programmes </w:t>
      </w:r>
      <w:proofErr w:type="spellStart"/>
      <w:proofErr w:type="gramStart"/>
      <w:r w:rsidR="005F3AEB">
        <w:rPr>
          <w:sz w:val="24"/>
          <w:szCs w:val="24"/>
          <w:lang w:val="de-DE"/>
        </w:rPr>
        <w:t>Teilnehmer:innen</w:t>
      </w:r>
      <w:proofErr w:type="spellEnd"/>
      <w:proofErr w:type="gramEnd"/>
      <w:r w:rsidR="005F3AEB">
        <w:rPr>
          <w:sz w:val="24"/>
          <w:szCs w:val="24"/>
          <w:lang w:val="de-DE"/>
        </w:rPr>
        <w:t xml:space="preserve"> </w:t>
      </w:r>
      <w:r w:rsidRPr="00F43FA2">
        <w:rPr>
          <w:sz w:val="24"/>
          <w:szCs w:val="24"/>
          <w:lang w:val="de-DE"/>
        </w:rPr>
        <w:t>dazu ermutig</w:t>
      </w:r>
      <w:r w:rsidR="005F3AEB">
        <w:rPr>
          <w:sz w:val="24"/>
          <w:szCs w:val="24"/>
          <w:lang w:val="de-DE"/>
        </w:rPr>
        <w:t>t werden</w:t>
      </w:r>
      <w:r w:rsidRPr="00F43FA2">
        <w:rPr>
          <w:sz w:val="24"/>
          <w:szCs w:val="24"/>
          <w:lang w:val="de-DE"/>
        </w:rPr>
        <w:t xml:space="preserve">, sich </w:t>
      </w:r>
      <w:r w:rsidR="005F3AEB">
        <w:rPr>
          <w:sz w:val="24"/>
          <w:szCs w:val="24"/>
          <w:lang w:val="de-DE"/>
        </w:rPr>
        <w:t xml:space="preserve">in der Zivilgesellschaft </w:t>
      </w:r>
      <w:r w:rsidRPr="00F43FA2">
        <w:rPr>
          <w:sz w:val="24"/>
          <w:szCs w:val="24"/>
          <w:lang w:val="de-DE"/>
        </w:rPr>
        <w:t>zu engagieren</w:t>
      </w:r>
      <w:r w:rsidR="005F3AEB">
        <w:rPr>
          <w:sz w:val="24"/>
          <w:szCs w:val="24"/>
          <w:lang w:val="de-DE"/>
        </w:rPr>
        <w:t>,</w:t>
      </w:r>
      <w:r w:rsidRPr="00F43FA2">
        <w:rPr>
          <w:sz w:val="24"/>
          <w:szCs w:val="24"/>
          <w:lang w:val="de-DE"/>
        </w:rPr>
        <w:t xml:space="preserve"> indem sie für die gemeinsamen Werte der Europäischen Union sensibilisiert werden. Das Programm wird weiterhin junge Menschen befähigen und ihre Beteiligung am demokratischen Leben fördern, insbesondere durch die Unterstützung von Aktivitäten im Zusammenhang mit dem Europäischen Jahr der Jugend 2022, das in der Rede zur Lage der Union im September 2021 angekündigt wurde. Darüber hinaus ist die Entwicklung digitaler Fähigkeiten und Kompetenzen sowie von Fähigkeiten in zukunftsorientierten Bereichen wie Bekämpfung des Klimawandels, saubere Energie, künstliche Intelligenz, Robotik, Big-Data-Analyse usw. für das künftige nachhaltige Wachstum und den Zusammenhalt in Europa von wesentlicher Bedeutung. Das Programm kann einen bedeutenden Beitrag leisten, indem es </w:t>
      </w:r>
      <w:r w:rsidRPr="00F43FA2">
        <w:rPr>
          <w:sz w:val="24"/>
          <w:szCs w:val="24"/>
          <w:lang w:val="de-DE"/>
        </w:rPr>
        <w:lastRenderedPageBreak/>
        <w:t xml:space="preserve">Innovationen anregt und die Wissens-, Qualifikations- und Kompetenzlücke in Europa überbrückt. Die Unternehmen in der EU müssen ihre Wettbewerbsfähigkeit durch Talent und Innovation steigern. Diese Investitionen in Wissen, Fertigkeiten und Kompetenzen werden Einzelpersonen, Institutionen, Organisationen und der Gesellschaft insgesamt </w:t>
      </w:r>
      <w:proofErr w:type="spellStart"/>
      <w:proofErr w:type="gramStart"/>
      <w:r w:rsidRPr="00F43FA2">
        <w:rPr>
          <w:sz w:val="24"/>
          <w:szCs w:val="24"/>
          <w:lang w:val="de-DE"/>
        </w:rPr>
        <w:t>zugute kommen</w:t>
      </w:r>
      <w:proofErr w:type="spellEnd"/>
      <w:proofErr w:type="gramEnd"/>
      <w:r w:rsidRPr="00F43FA2">
        <w:rPr>
          <w:sz w:val="24"/>
          <w:szCs w:val="24"/>
          <w:lang w:val="de-DE"/>
        </w:rPr>
        <w:t>, indem sie zu nachhaltigem Wachstum beitragen und Gerechtigkeit, Wohlstand und soziale Eingliederung in Europa und darüber hinaus gewährleisten.</w:t>
      </w:r>
    </w:p>
    <w:p w14:paraId="3E21D79F" w14:textId="6B4532B7" w:rsidR="00A0767F" w:rsidRPr="00F43FA2" w:rsidRDefault="0055183F">
      <w:pPr>
        <w:rPr>
          <w:sz w:val="24"/>
          <w:szCs w:val="24"/>
          <w:lang w:val="de-DE"/>
        </w:rPr>
      </w:pPr>
      <w:r w:rsidRPr="00F43FA2">
        <w:rPr>
          <w:sz w:val="24"/>
          <w:szCs w:val="24"/>
          <w:lang w:val="de-DE"/>
        </w:rPr>
        <w:t xml:space="preserve">Innerhalb des ERASMUS+-Programms soll die </w:t>
      </w:r>
      <w:r w:rsidRPr="00F43FA2">
        <w:rPr>
          <w:b/>
          <w:sz w:val="24"/>
          <w:szCs w:val="24"/>
          <w:lang w:val="de-DE"/>
        </w:rPr>
        <w:t xml:space="preserve">Leitaktion 2: Zusammenarbeit zwischen Organisationen und Einrichtungen zur </w:t>
      </w:r>
      <w:r w:rsidRPr="00F43FA2">
        <w:rPr>
          <w:sz w:val="24"/>
          <w:szCs w:val="24"/>
          <w:lang w:val="de-DE"/>
        </w:rPr>
        <w:t xml:space="preserve">Entwicklung, zum Transfer und/oder zur Umsetzung innovativer Verfahren auf organisatorischer, lokaler, regionaler, nationaler oder europäischer Ebene führen. Die </w:t>
      </w:r>
      <w:r w:rsidRPr="005F3AEB">
        <w:rPr>
          <w:sz w:val="24"/>
          <w:szCs w:val="24"/>
          <w:lang w:val="de-DE"/>
        </w:rPr>
        <w:t>im Rahmen dieser Leitaktion geförderten Projekte werden sich auch positiv auf die direkt oder indirekt an den Aktivitäten beteiligten Personen auswirken, z. B. in Form eines höheren Niveaus an digitaler Kompetenz. So wird erwartet, dass die Auswirkungen dieser Leitaktion unter anderem in einer verbesserten Vermittlung und Bewertung von Grund- und Querschnittskompetenzen bestehen, insbesondere von unternehmerischen, sozialen, staatsbürgerlichen, interkulturellen und sprachlichen Kompetenzen, kritischem Denken, digitalen Fähigkeiten und Medienkompetenzen.</w:t>
      </w:r>
      <w:r w:rsidRPr="00F43FA2">
        <w:rPr>
          <w:lang w:val="de-DE"/>
        </w:rPr>
        <w:t xml:space="preserve"> </w:t>
      </w:r>
    </w:p>
    <w:p w14:paraId="3359B771" w14:textId="77777777" w:rsidR="00A0767F" w:rsidRPr="00F43FA2" w:rsidRDefault="0055183F">
      <w:pPr>
        <w:pStyle w:val="2"/>
        <w:rPr>
          <w:lang w:val="de-DE"/>
        </w:rPr>
      </w:pPr>
      <w:bookmarkStart w:id="5" w:name="_Toc103249338"/>
      <w:r w:rsidRPr="00F43FA2">
        <w:rPr>
          <w:lang w:val="de-DE"/>
        </w:rPr>
        <w:t>1.2 Konzept der digitalen Gesundheitskompetenz</w:t>
      </w:r>
      <w:bookmarkEnd w:id="5"/>
    </w:p>
    <w:p w14:paraId="13DF4B3C" w14:textId="0993D6AA" w:rsidR="00A0767F" w:rsidRPr="00F43FA2" w:rsidRDefault="0055183F">
      <w:pPr>
        <w:pBdr>
          <w:top w:val="nil"/>
          <w:left w:val="nil"/>
          <w:bottom w:val="nil"/>
          <w:right w:val="nil"/>
          <w:between w:val="nil"/>
        </w:pBdr>
        <w:rPr>
          <w:color w:val="000000"/>
          <w:sz w:val="24"/>
          <w:szCs w:val="24"/>
          <w:lang w:val="de-DE"/>
        </w:rPr>
      </w:pPr>
      <w:r w:rsidRPr="00F43FA2">
        <w:rPr>
          <w:color w:val="000000"/>
          <w:sz w:val="24"/>
          <w:szCs w:val="24"/>
          <w:lang w:val="de-DE"/>
        </w:rPr>
        <w:t>Die wichtigste Definition vo</w:t>
      </w:r>
      <w:r w:rsidR="005F3AEB">
        <w:rPr>
          <w:color w:val="000000"/>
          <w:sz w:val="24"/>
          <w:szCs w:val="24"/>
          <w:lang w:val="de-DE"/>
        </w:rPr>
        <w:t xml:space="preserve">n Digital Health </w:t>
      </w:r>
      <w:proofErr w:type="spellStart"/>
      <w:r w:rsidR="005F3AEB">
        <w:rPr>
          <w:color w:val="000000"/>
          <w:sz w:val="24"/>
          <w:szCs w:val="24"/>
          <w:lang w:val="de-DE"/>
        </w:rPr>
        <w:t>Literacy</w:t>
      </w:r>
      <w:proofErr w:type="spellEnd"/>
      <w:r w:rsidR="005F3AEB">
        <w:rPr>
          <w:color w:val="000000"/>
          <w:sz w:val="24"/>
          <w:szCs w:val="24"/>
          <w:lang w:val="de-DE"/>
        </w:rPr>
        <w:t>, die auch</w:t>
      </w:r>
      <w:r w:rsidRPr="00F43FA2">
        <w:rPr>
          <w:color w:val="000000"/>
          <w:sz w:val="24"/>
          <w:szCs w:val="24"/>
          <w:lang w:val="de-DE"/>
        </w:rPr>
        <w:t xml:space="preserve"> von der Weltgesundheitsorganisation (WHO, 2017) verwendet wird, ist die von Norman und Skinner entwickelte. In Bezug auf diese Definition wird Digital Health </w:t>
      </w:r>
      <w:proofErr w:type="spellStart"/>
      <w:r w:rsidRPr="00F43FA2">
        <w:rPr>
          <w:color w:val="000000"/>
          <w:sz w:val="24"/>
          <w:szCs w:val="24"/>
          <w:lang w:val="de-DE"/>
        </w:rPr>
        <w:t>Literacy</w:t>
      </w:r>
      <w:proofErr w:type="spellEnd"/>
      <w:r w:rsidRPr="00F43FA2">
        <w:rPr>
          <w:color w:val="000000"/>
          <w:sz w:val="24"/>
          <w:szCs w:val="24"/>
          <w:lang w:val="de-DE"/>
        </w:rPr>
        <w:t xml:space="preserve"> definiert als "[...] die Fähigkeit, Gesundheitsinformationen aus elektronischen Quellen zu suchen, zu finden, zu verstehen und zu bewerten und das gewonnene Wissen zur Bewältigung oder Lösung eines Gesundheitsproblems anzuwenden" (Norman und Skinner, 2006)</w:t>
      </w:r>
    </w:p>
    <w:p w14:paraId="785606D3" w14:textId="60B69E91" w:rsidR="00A0767F" w:rsidRPr="00F43FA2" w:rsidRDefault="0055183F">
      <w:pPr>
        <w:pBdr>
          <w:top w:val="nil"/>
          <w:left w:val="nil"/>
          <w:bottom w:val="nil"/>
          <w:right w:val="nil"/>
          <w:between w:val="nil"/>
        </w:pBdr>
        <w:rPr>
          <w:color w:val="000000"/>
          <w:sz w:val="24"/>
          <w:szCs w:val="24"/>
          <w:lang w:val="de-DE"/>
        </w:rPr>
      </w:pPr>
      <w:r w:rsidRPr="00F43FA2">
        <w:rPr>
          <w:color w:val="000000"/>
          <w:sz w:val="24"/>
          <w:szCs w:val="24"/>
          <w:lang w:val="de-DE"/>
        </w:rPr>
        <w:t xml:space="preserve">Diese Definition vermittelt einen ersten Eindruck von der Bedeutung der digitalen Gesundheitskompetenz. Um das Konzept der </w:t>
      </w:r>
      <w:r w:rsidR="005F3AEB">
        <w:rPr>
          <w:color w:val="000000"/>
          <w:sz w:val="24"/>
          <w:szCs w:val="24"/>
          <w:lang w:val="de-DE"/>
        </w:rPr>
        <w:t xml:space="preserve">digitalen </w:t>
      </w:r>
      <w:proofErr w:type="spellStart"/>
      <w:r w:rsidR="005F3AEB">
        <w:rPr>
          <w:color w:val="000000"/>
          <w:sz w:val="24"/>
          <w:szCs w:val="24"/>
          <w:lang w:val="de-DE"/>
        </w:rPr>
        <w:t>Gesunheitskompetenz</w:t>
      </w:r>
      <w:proofErr w:type="spellEnd"/>
      <w:r w:rsidRPr="00F43FA2">
        <w:rPr>
          <w:color w:val="000000"/>
          <w:sz w:val="24"/>
          <w:szCs w:val="24"/>
          <w:lang w:val="de-DE"/>
        </w:rPr>
        <w:t xml:space="preserve"> besser zu verstehen, lohnt es sich, einen Blick auf die verschiedenen Kompetenzen zu werfen</w:t>
      </w:r>
      <w:r w:rsidR="005F3AEB">
        <w:rPr>
          <w:color w:val="000000"/>
          <w:sz w:val="24"/>
          <w:szCs w:val="24"/>
          <w:lang w:val="de-DE"/>
        </w:rPr>
        <w:t>.</w:t>
      </w:r>
      <w:r w:rsidRPr="00F43FA2">
        <w:rPr>
          <w:color w:val="000000"/>
          <w:sz w:val="24"/>
          <w:szCs w:val="24"/>
          <w:lang w:val="de-DE"/>
        </w:rPr>
        <w:t xml:space="preserve"> Es gibt sechs verschiedene Kompetenzen, die unter dem Begriff </w:t>
      </w:r>
      <w:r w:rsidR="005F3AEB">
        <w:rPr>
          <w:color w:val="000000"/>
          <w:sz w:val="24"/>
          <w:szCs w:val="24"/>
          <w:lang w:val="de-DE"/>
        </w:rPr>
        <w:t>digitale Gesundheitskompetenz</w:t>
      </w:r>
      <w:r w:rsidRPr="00F43FA2">
        <w:rPr>
          <w:color w:val="000000"/>
          <w:sz w:val="24"/>
          <w:szCs w:val="24"/>
          <w:lang w:val="de-DE"/>
        </w:rPr>
        <w:t xml:space="preserve"> zusammengefasst werden: 1) traditionelle Kompetenz, 2) Gesundheitskompetenz, 3) </w:t>
      </w:r>
      <w:r w:rsidRPr="00F43FA2">
        <w:rPr>
          <w:color w:val="000000"/>
          <w:sz w:val="24"/>
          <w:szCs w:val="24"/>
          <w:lang w:val="de-DE"/>
        </w:rPr>
        <w:lastRenderedPageBreak/>
        <w:t xml:space="preserve">Informationskompetenz, 4) wissenschaftliche Kompetenz, 5) Medienkompetenz und 6) Computerkompetenz (Norman und Skinner, 2006). </w:t>
      </w:r>
    </w:p>
    <w:p w14:paraId="44A5E5F9" w14:textId="77777777" w:rsidR="00FD1591" w:rsidRPr="00F43FA2" w:rsidRDefault="00FD1591">
      <w:pPr>
        <w:pBdr>
          <w:top w:val="nil"/>
          <w:left w:val="nil"/>
          <w:bottom w:val="nil"/>
          <w:right w:val="nil"/>
          <w:between w:val="nil"/>
        </w:pBdr>
        <w:rPr>
          <w:color w:val="000000"/>
          <w:sz w:val="24"/>
          <w:szCs w:val="24"/>
          <w:lang w:val="de-DE"/>
        </w:rPr>
      </w:pPr>
    </w:p>
    <w:p w14:paraId="2B744B43" w14:textId="77777777" w:rsidR="00FD1591" w:rsidRPr="00F43FA2" w:rsidRDefault="00FD1591">
      <w:pPr>
        <w:pBdr>
          <w:top w:val="nil"/>
          <w:left w:val="nil"/>
          <w:bottom w:val="nil"/>
          <w:right w:val="nil"/>
          <w:between w:val="nil"/>
        </w:pBdr>
        <w:rPr>
          <w:color w:val="000000"/>
          <w:sz w:val="24"/>
          <w:szCs w:val="24"/>
          <w:lang w:val="de-DE"/>
        </w:rPr>
      </w:pPr>
    </w:p>
    <w:p w14:paraId="1750B82D" w14:textId="77777777" w:rsidR="00A0767F" w:rsidRPr="00F43FA2" w:rsidRDefault="0055183F">
      <w:pPr>
        <w:pBdr>
          <w:top w:val="nil"/>
          <w:left w:val="nil"/>
          <w:bottom w:val="nil"/>
          <w:right w:val="nil"/>
          <w:between w:val="nil"/>
        </w:pBdr>
        <w:spacing w:after="200" w:line="240" w:lineRule="auto"/>
        <w:rPr>
          <w:i/>
          <w:color w:val="44546A"/>
          <w:sz w:val="18"/>
          <w:szCs w:val="18"/>
          <w:lang w:val="de-DE"/>
        </w:rPr>
      </w:pPr>
      <w:r>
        <w:rPr>
          <w:noProof/>
          <w:lang w:val="de-DE"/>
        </w:rPr>
        <w:drawing>
          <wp:anchor distT="0" distB="0" distL="114300" distR="114300" simplePos="0" relativeHeight="251658240" behindDoc="0" locked="0" layoutInCell="1" hidden="0" allowOverlap="1" wp14:anchorId="5C25B0A1" wp14:editId="2CF5F292">
            <wp:simplePos x="0" y="0"/>
            <wp:positionH relativeFrom="column">
              <wp:posOffset>9627</wp:posOffset>
            </wp:positionH>
            <wp:positionV relativeFrom="paragraph">
              <wp:posOffset>200</wp:posOffset>
            </wp:positionV>
            <wp:extent cx="3705225" cy="3771900"/>
            <wp:effectExtent l="0" t="0" r="0" b="0"/>
            <wp:wrapSquare wrapText="bothSides" distT="0" distB="0" distL="114300" distR="114300"/>
            <wp:docPr id="7" name="image3.png" descr="Diagram, venn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Diagram, venn diagram&#10;&#10;Description automatically generated"/>
                    <pic:cNvPicPr preferRelativeResize="0"/>
                  </pic:nvPicPr>
                  <pic:blipFill>
                    <a:blip r:embed="rId30"/>
                    <a:srcRect/>
                    <a:stretch>
                      <a:fillRect/>
                    </a:stretch>
                  </pic:blipFill>
                  <pic:spPr>
                    <a:xfrm>
                      <a:off x="0" y="0"/>
                      <a:ext cx="3705225" cy="3771900"/>
                    </a:xfrm>
                    <a:prstGeom prst="rect">
                      <a:avLst/>
                    </a:prstGeom>
                    <a:ln/>
                  </pic:spPr>
                </pic:pic>
              </a:graphicData>
            </a:graphic>
          </wp:anchor>
        </w:drawing>
      </w:r>
    </w:p>
    <w:p w14:paraId="466ED2F2" w14:textId="77777777" w:rsidR="00FD1591" w:rsidRPr="00F43FA2" w:rsidRDefault="00FD1591">
      <w:pPr>
        <w:pBdr>
          <w:top w:val="nil"/>
          <w:left w:val="nil"/>
          <w:bottom w:val="nil"/>
          <w:right w:val="nil"/>
          <w:between w:val="nil"/>
        </w:pBdr>
        <w:spacing w:after="200" w:line="240" w:lineRule="auto"/>
        <w:rPr>
          <w:i/>
          <w:color w:val="44546A"/>
          <w:sz w:val="18"/>
          <w:szCs w:val="18"/>
          <w:lang w:val="de-DE"/>
        </w:rPr>
      </w:pPr>
    </w:p>
    <w:p w14:paraId="249F58B2" w14:textId="77777777" w:rsidR="00FD1591" w:rsidRPr="00F43FA2" w:rsidRDefault="00FD1591">
      <w:pPr>
        <w:pBdr>
          <w:top w:val="nil"/>
          <w:left w:val="nil"/>
          <w:bottom w:val="nil"/>
          <w:right w:val="nil"/>
          <w:between w:val="nil"/>
        </w:pBdr>
        <w:spacing w:after="200" w:line="240" w:lineRule="auto"/>
        <w:rPr>
          <w:i/>
          <w:color w:val="44546A"/>
          <w:sz w:val="18"/>
          <w:szCs w:val="18"/>
          <w:lang w:val="de-DE"/>
        </w:rPr>
      </w:pPr>
    </w:p>
    <w:p w14:paraId="101A62C8" w14:textId="77777777" w:rsidR="00FD1591" w:rsidRPr="00F43FA2" w:rsidRDefault="00FD1591">
      <w:pPr>
        <w:pBdr>
          <w:top w:val="nil"/>
          <w:left w:val="nil"/>
          <w:bottom w:val="nil"/>
          <w:right w:val="nil"/>
          <w:between w:val="nil"/>
        </w:pBdr>
        <w:spacing w:after="200" w:line="240" w:lineRule="auto"/>
        <w:rPr>
          <w:i/>
          <w:color w:val="44546A"/>
          <w:sz w:val="18"/>
          <w:szCs w:val="18"/>
          <w:lang w:val="de-DE"/>
        </w:rPr>
      </w:pPr>
    </w:p>
    <w:p w14:paraId="5F4C5C62" w14:textId="77777777" w:rsidR="00FD1591" w:rsidRPr="00F43FA2" w:rsidRDefault="00FD1591">
      <w:pPr>
        <w:pBdr>
          <w:top w:val="nil"/>
          <w:left w:val="nil"/>
          <w:bottom w:val="nil"/>
          <w:right w:val="nil"/>
          <w:between w:val="nil"/>
        </w:pBdr>
        <w:spacing w:after="200" w:line="240" w:lineRule="auto"/>
        <w:rPr>
          <w:i/>
          <w:color w:val="44546A"/>
          <w:sz w:val="18"/>
          <w:szCs w:val="18"/>
          <w:lang w:val="de-DE"/>
        </w:rPr>
      </w:pPr>
    </w:p>
    <w:p w14:paraId="0F81119E" w14:textId="77777777" w:rsidR="00FD1591" w:rsidRPr="00F43FA2" w:rsidRDefault="00FD1591">
      <w:pPr>
        <w:pBdr>
          <w:top w:val="nil"/>
          <w:left w:val="nil"/>
          <w:bottom w:val="nil"/>
          <w:right w:val="nil"/>
          <w:between w:val="nil"/>
        </w:pBdr>
        <w:spacing w:after="200" w:line="240" w:lineRule="auto"/>
        <w:rPr>
          <w:i/>
          <w:color w:val="44546A"/>
          <w:sz w:val="18"/>
          <w:szCs w:val="18"/>
          <w:lang w:val="de-DE"/>
        </w:rPr>
      </w:pPr>
    </w:p>
    <w:p w14:paraId="658D9118" w14:textId="77777777" w:rsidR="00FD1591" w:rsidRPr="00F43FA2" w:rsidRDefault="00FD1591">
      <w:pPr>
        <w:pBdr>
          <w:top w:val="nil"/>
          <w:left w:val="nil"/>
          <w:bottom w:val="nil"/>
          <w:right w:val="nil"/>
          <w:between w:val="nil"/>
        </w:pBdr>
        <w:spacing w:after="200" w:line="240" w:lineRule="auto"/>
        <w:rPr>
          <w:i/>
          <w:color w:val="44546A"/>
          <w:sz w:val="18"/>
          <w:szCs w:val="18"/>
          <w:lang w:val="de-DE"/>
        </w:rPr>
      </w:pPr>
    </w:p>
    <w:p w14:paraId="0304367D" w14:textId="77777777" w:rsidR="00FD1591" w:rsidRPr="00F43FA2" w:rsidRDefault="00FD1591">
      <w:pPr>
        <w:pBdr>
          <w:top w:val="nil"/>
          <w:left w:val="nil"/>
          <w:bottom w:val="nil"/>
          <w:right w:val="nil"/>
          <w:between w:val="nil"/>
        </w:pBdr>
        <w:spacing w:after="200" w:line="240" w:lineRule="auto"/>
        <w:rPr>
          <w:i/>
          <w:color w:val="44546A"/>
          <w:sz w:val="18"/>
          <w:szCs w:val="18"/>
          <w:lang w:val="de-DE"/>
        </w:rPr>
      </w:pPr>
    </w:p>
    <w:p w14:paraId="53AB1B0C" w14:textId="77777777" w:rsidR="00FD1591" w:rsidRPr="00F43FA2" w:rsidRDefault="00FD1591">
      <w:pPr>
        <w:pBdr>
          <w:top w:val="nil"/>
          <w:left w:val="nil"/>
          <w:bottom w:val="nil"/>
          <w:right w:val="nil"/>
          <w:between w:val="nil"/>
        </w:pBdr>
        <w:spacing w:after="200" w:line="240" w:lineRule="auto"/>
        <w:rPr>
          <w:i/>
          <w:color w:val="44546A"/>
          <w:sz w:val="18"/>
          <w:szCs w:val="18"/>
          <w:lang w:val="de-DE"/>
        </w:rPr>
      </w:pPr>
    </w:p>
    <w:p w14:paraId="663979B2" w14:textId="77777777" w:rsidR="00FD1591" w:rsidRPr="00F43FA2" w:rsidRDefault="00FD1591">
      <w:pPr>
        <w:pBdr>
          <w:top w:val="nil"/>
          <w:left w:val="nil"/>
          <w:bottom w:val="nil"/>
          <w:right w:val="nil"/>
          <w:between w:val="nil"/>
        </w:pBdr>
        <w:spacing w:after="200" w:line="240" w:lineRule="auto"/>
        <w:rPr>
          <w:i/>
          <w:color w:val="44546A"/>
          <w:sz w:val="18"/>
          <w:szCs w:val="18"/>
          <w:lang w:val="de-DE"/>
        </w:rPr>
      </w:pPr>
    </w:p>
    <w:p w14:paraId="45FE8671" w14:textId="77777777" w:rsidR="00FD1591" w:rsidRPr="00F43FA2" w:rsidRDefault="00FD1591">
      <w:pPr>
        <w:pBdr>
          <w:top w:val="nil"/>
          <w:left w:val="nil"/>
          <w:bottom w:val="nil"/>
          <w:right w:val="nil"/>
          <w:between w:val="nil"/>
        </w:pBdr>
        <w:spacing w:after="200" w:line="240" w:lineRule="auto"/>
        <w:rPr>
          <w:i/>
          <w:color w:val="44546A"/>
          <w:sz w:val="18"/>
          <w:szCs w:val="18"/>
          <w:lang w:val="de-DE"/>
        </w:rPr>
      </w:pPr>
    </w:p>
    <w:p w14:paraId="507882A7" w14:textId="77777777" w:rsidR="00FD1591" w:rsidRPr="00F43FA2" w:rsidRDefault="00FD1591">
      <w:pPr>
        <w:pBdr>
          <w:top w:val="nil"/>
          <w:left w:val="nil"/>
          <w:bottom w:val="nil"/>
          <w:right w:val="nil"/>
          <w:between w:val="nil"/>
        </w:pBdr>
        <w:spacing w:after="200" w:line="240" w:lineRule="auto"/>
        <w:rPr>
          <w:i/>
          <w:color w:val="44546A"/>
          <w:sz w:val="18"/>
          <w:szCs w:val="18"/>
          <w:lang w:val="de-DE"/>
        </w:rPr>
      </w:pPr>
    </w:p>
    <w:p w14:paraId="3A392632" w14:textId="77777777" w:rsidR="00FD1591" w:rsidRPr="00F43FA2" w:rsidRDefault="00FD1591">
      <w:pPr>
        <w:pBdr>
          <w:top w:val="nil"/>
          <w:left w:val="nil"/>
          <w:bottom w:val="nil"/>
          <w:right w:val="nil"/>
          <w:between w:val="nil"/>
        </w:pBdr>
        <w:spacing w:after="200" w:line="240" w:lineRule="auto"/>
        <w:rPr>
          <w:i/>
          <w:color w:val="44546A"/>
          <w:sz w:val="18"/>
          <w:szCs w:val="18"/>
          <w:lang w:val="de-DE"/>
        </w:rPr>
      </w:pPr>
    </w:p>
    <w:p w14:paraId="3D7B2AB9" w14:textId="77777777" w:rsidR="00FD1591" w:rsidRPr="00F43FA2" w:rsidRDefault="00FD1591">
      <w:pPr>
        <w:pBdr>
          <w:top w:val="nil"/>
          <w:left w:val="nil"/>
          <w:bottom w:val="nil"/>
          <w:right w:val="nil"/>
          <w:between w:val="nil"/>
        </w:pBdr>
        <w:spacing w:after="200" w:line="240" w:lineRule="auto"/>
        <w:rPr>
          <w:i/>
          <w:color w:val="44546A"/>
          <w:sz w:val="18"/>
          <w:szCs w:val="18"/>
          <w:lang w:val="de-DE"/>
        </w:rPr>
      </w:pPr>
    </w:p>
    <w:p w14:paraId="3922DDE3" w14:textId="77777777" w:rsidR="00FD1591" w:rsidRPr="00F43FA2" w:rsidRDefault="00FD1591">
      <w:pPr>
        <w:pBdr>
          <w:top w:val="nil"/>
          <w:left w:val="nil"/>
          <w:bottom w:val="nil"/>
          <w:right w:val="nil"/>
          <w:between w:val="nil"/>
        </w:pBdr>
        <w:spacing w:after="200" w:line="240" w:lineRule="auto"/>
        <w:rPr>
          <w:i/>
          <w:color w:val="44546A"/>
          <w:sz w:val="18"/>
          <w:szCs w:val="18"/>
          <w:lang w:val="de-DE"/>
        </w:rPr>
      </w:pPr>
    </w:p>
    <w:p w14:paraId="0EB66301" w14:textId="77777777" w:rsidR="00A0767F" w:rsidRPr="00F43FA2" w:rsidRDefault="0055183F">
      <w:pPr>
        <w:pBdr>
          <w:top w:val="nil"/>
          <w:left w:val="nil"/>
          <w:bottom w:val="nil"/>
          <w:right w:val="nil"/>
          <w:between w:val="nil"/>
        </w:pBdr>
        <w:spacing w:after="200" w:line="240" w:lineRule="auto"/>
        <w:rPr>
          <w:i/>
          <w:color w:val="000000"/>
          <w:sz w:val="24"/>
          <w:szCs w:val="24"/>
          <w:lang w:val="de-DE"/>
        </w:rPr>
      </w:pPr>
      <w:r w:rsidRPr="00F43FA2">
        <w:rPr>
          <w:i/>
          <w:color w:val="44546A"/>
          <w:sz w:val="18"/>
          <w:szCs w:val="18"/>
          <w:lang w:val="de-DE"/>
        </w:rPr>
        <w:t xml:space="preserve">Abbildung 1: Lilienmodell der </w:t>
      </w:r>
      <w:proofErr w:type="spellStart"/>
      <w:r w:rsidRPr="00F43FA2">
        <w:rPr>
          <w:i/>
          <w:color w:val="44546A"/>
          <w:sz w:val="18"/>
          <w:szCs w:val="18"/>
          <w:lang w:val="de-DE"/>
        </w:rPr>
        <w:t>eHealth</w:t>
      </w:r>
      <w:proofErr w:type="spellEnd"/>
      <w:r w:rsidRPr="00F43FA2">
        <w:rPr>
          <w:i/>
          <w:color w:val="44546A"/>
          <w:sz w:val="18"/>
          <w:szCs w:val="18"/>
          <w:lang w:val="de-DE"/>
        </w:rPr>
        <w:t>-Kompetenz (Norman und Skinner, 2006)</w:t>
      </w:r>
    </w:p>
    <w:p w14:paraId="0600C9E0" w14:textId="77777777" w:rsidR="00A0767F" w:rsidRPr="00F43FA2" w:rsidRDefault="0055183F">
      <w:pPr>
        <w:rPr>
          <w:sz w:val="24"/>
          <w:szCs w:val="24"/>
          <w:lang w:val="de-DE"/>
        </w:rPr>
      </w:pPr>
      <w:r w:rsidRPr="00F43FA2">
        <w:rPr>
          <w:sz w:val="24"/>
          <w:szCs w:val="24"/>
          <w:lang w:val="de-DE"/>
        </w:rPr>
        <w:t xml:space="preserve">Im MIG-DHL-Projekt haben wir auf dieser Definition und vor allem auf den von van der Vaart &amp; </w:t>
      </w:r>
      <w:proofErr w:type="spellStart"/>
      <w:r w:rsidRPr="00F43FA2">
        <w:rPr>
          <w:sz w:val="24"/>
          <w:szCs w:val="24"/>
          <w:lang w:val="de-DE"/>
        </w:rPr>
        <w:t>Drossaert</w:t>
      </w:r>
      <w:proofErr w:type="spellEnd"/>
      <w:r w:rsidRPr="00F43FA2">
        <w:rPr>
          <w:sz w:val="24"/>
          <w:szCs w:val="24"/>
          <w:lang w:val="de-DE"/>
        </w:rPr>
        <w:t xml:space="preserve"> (van der Vaart &amp; </w:t>
      </w:r>
      <w:proofErr w:type="spellStart"/>
      <w:r w:rsidRPr="00F43FA2">
        <w:rPr>
          <w:sz w:val="24"/>
          <w:szCs w:val="24"/>
          <w:lang w:val="de-DE"/>
        </w:rPr>
        <w:t>Drossaert</w:t>
      </w:r>
      <w:proofErr w:type="spellEnd"/>
      <w:r w:rsidRPr="00F43FA2">
        <w:rPr>
          <w:sz w:val="24"/>
          <w:szCs w:val="24"/>
          <w:lang w:val="de-DE"/>
        </w:rPr>
        <w:t xml:space="preserve">, 2017) vorgeschlagenen Dimensionen der digitalen Gesundheitskompetenz aufgebaut. In ihrem Artikel, Development </w:t>
      </w:r>
      <w:proofErr w:type="spellStart"/>
      <w:r w:rsidRPr="00F43FA2">
        <w:rPr>
          <w:sz w:val="24"/>
          <w:szCs w:val="24"/>
          <w:lang w:val="de-DE"/>
        </w:rPr>
        <w:t>of</w:t>
      </w:r>
      <w:proofErr w:type="spellEnd"/>
      <w:r w:rsidRPr="00F43FA2">
        <w:rPr>
          <w:sz w:val="24"/>
          <w:szCs w:val="24"/>
          <w:lang w:val="de-DE"/>
        </w:rPr>
        <w:t xml:space="preserve"> </w:t>
      </w:r>
      <w:proofErr w:type="spellStart"/>
      <w:r w:rsidRPr="00F43FA2">
        <w:rPr>
          <w:sz w:val="24"/>
          <w:szCs w:val="24"/>
          <w:lang w:val="de-DE"/>
        </w:rPr>
        <w:t>the</w:t>
      </w:r>
      <w:proofErr w:type="spellEnd"/>
      <w:r w:rsidRPr="00F43FA2">
        <w:rPr>
          <w:sz w:val="24"/>
          <w:szCs w:val="24"/>
          <w:lang w:val="de-DE"/>
        </w:rPr>
        <w:t xml:space="preserve"> Digital Health </w:t>
      </w:r>
      <w:proofErr w:type="spellStart"/>
      <w:r w:rsidRPr="00F43FA2">
        <w:rPr>
          <w:sz w:val="24"/>
          <w:szCs w:val="24"/>
          <w:lang w:val="de-DE"/>
        </w:rPr>
        <w:t>Literacy</w:t>
      </w:r>
      <w:proofErr w:type="spellEnd"/>
      <w:r w:rsidRPr="00F43FA2">
        <w:rPr>
          <w:sz w:val="24"/>
          <w:szCs w:val="24"/>
          <w:lang w:val="de-DE"/>
        </w:rPr>
        <w:t xml:space="preserve"> Instrument: </w:t>
      </w:r>
      <w:proofErr w:type="spellStart"/>
      <w:r w:rsidRPr="00F43FA2">
        <w:rPr>
          <w:sz w:val="24"/>
          <w:szCs w:val="24"/>
          <w:lang w:val="de-DE"/>
        </w:rPr>
        <w:t>Measuring</w:t>
      </w:r>
      <w:proofErr w:type="spellEnd"/>
      <w:r w:rsidRPr="00F43FA2">
        <w:rPr>
          <w:sz w:val="24"/>
          <w:szCs w:val="24"/>
          <w:lang w:val="de-DE"/>
        </w:rPr>
        <w:t xml:space="preserve"> a Broad </w:t>
      </w:r>
      <w:proofErr w:type="spellStart"/>
      <w:r w:rsidRPr="00F43FA2">
        <w:rPr>
          <w:sz w:val="24"/>
          <w:szCs w:val="24"/>
          <w:lang w:val="de-DE"/>
        </w:rPr>
        <w:t>Spectrum</w:t>
      </w:r>
      <w:proofErr w:type="spellEnd"/>
      <w:r w:rsidRPr="00F43FA2">
        <w:rPr>
          <w:sz w:val="24"/>
          <w:szCs w:val="24"/>
          <w:lang w:val="de-DE"/>
        </w:rPr>
        <w:t xml:space="preserve"> </w:t>
      </w:r>
      <w:proofErr w:type="spellStart"/>
      <w:r w:rsidRPr="00F43FA2">
        <w:rPr>
          <w:sz w:val="24"/>
          <w:szCs w:val="24"/>
          <w:lang w:val="de-DE"/>
        </w:rPr>
        <w:t>of</w:t>
      </w:r>
      <w:proofErr w:type="spellEnd"/>
      <w:r w:rsidRPr="00F43FA2">
        <w:rPr>
          <w:sz w:val="24"/>
          <w:szCs w:val="24"/>
          <w:lang w:val="de-DE"/>
        </w:rPr>
        <w:t xml:space="preserve"> Health 1.0 and Health 2.0 Skills (Messung eines breiten Spektrums von Health 1.0- und Health 2.0-Fähigkeiten) entwickeln sie 7 verschiedene Dimensionen von Digital Health </w:t>
      </w:r>
      <w:proofErr w:type="spellStart"/>
      <w:r w:rsidRPr="00F43FA2">
        <w:rPr>
          <w:sz w:val="24"/>
          <w:szCs w:val="24"/>
          <w:lang w:val="de-DE"/>
        </w:rPr>
        <w:t>Literacy</w:t>
      </w:r>
      <w:proofErr w:type="spellEnd"/>
      <w:r w:rsidRPr="00F43FA2">
        <w:rPr>
          <w:sz w:val="24"/>
          <w:szCs w:val="24"/>
          <w:lang w:val="de-DE"/>
        </w:rPr>
        <w:t xml:space="preserve">, wie folgt </w:t>
      </w:r>
    </w:p>
    <w:p w14:paraId="674D45CD" w14:textId="77777777" w:rsidR="00A0767F" w:rsidRPr="00F43FA2" w:rsidRDefault="0055183F">
      <w:pPr>
        <w:rPr>
          <w:sz w:val="24"/>
          <w:szCs w:val="24"/>
          <w:lang w:val="de-DE"/>
        </w:rPr>
      </w:pPr>
      <w:r w:rsidRPr="00F43FA2">
        <w:rPr>
          <w:b/>
          <w:sz w:val="24"/>
          <w:szCs w:val="24"/>
          <w:lang w:val="de-DE"/>
        </w:rPr>
        <w:t>(1) Operative Fähigkeiten</w:t>
      </w:r>
      <w:r w:rsidRPr="00F43FA2">
        <w:rPr>
          <w:sz w:val="24"/>
          <w:szCs w:val="24"/>
          <w:lang w:val="de-DE"/>
        </w:rPr>
        <w:t>: den Computer und den Internetbrowser benutzen; die Tastatur eines Computers benutzen (z. B. Wörter eingeben); die Maus benutzen (z. B. den Cursor in das richtige Feld setzen oder klicken); die Schaltflächen oder Links und Hyperlinks auf Websites benutzen.</w:t>
      </w:r>
    </w:p>
    <w:p w14:paraId="1A7BC8DA" w14:textId="77777777" w:rsidR="00A0767F" w:rsidRPr="00F43FA2" w:rsidRDefault="0055183F">
      <w:pPr>
        <w:rPr>
          <w:sz w:val="24"/>
          <w:szCs w:val="24"/>
          <w:lang w:val="de-DE"/>
        </w:rPr>
      </w:pPr>
      <w:r w:rsidRPr="00F43FA2">
        <w:rPr>
          <w:b/>
          <w:sz w:val="24"/>
          <w:szCs w:val="24"/>
          <w:lang w:val="de-DE"/>
        </w:rPr>
        <w:lastRenderedPageBreak/>
        <w:t xml:space="preserve">(2) Navigationsfähigkeiten: </w:t>
      </w:r>
      <w:r w:rsidRPr="00F43FA2">
        <w:rPr>
          <w:sz w:val="24"/>
          <w:szCs w:val="24"/>
          <w:lang w:val="de-DE"/>
        </w:rPr>
        <w:t xml:space="preserve">Navigieren und sich im Web orientieren; z. B. nicht den Überblick verlieren, wo man sich auf einer Website oder im Internet befindet; z. B. wissen, wie man zu einer vorherigen Seite zurückkehrt; z. B. auf etwas klicken und das sehen, was man erwartet hat, und nicht etwas anderes. </w:t>
      </w:r>
    </w:p>
    <w:p w14:paraId="19D524F2" w14:textId="77777777" w:rsidR="00A0767F" w:rsidRPr="00F43FA2" w:rsidRDefault="0055183F">
      <w:pPr>
        <w:rPr>
          <w:sz w:val="24"/>
          <w:szCs w:val="24"/>
          <w:lang w:val="de-DE"/>
        </w:rPr>
      </w:pPr>
      <w:r w:rsidRPr="00F43FA2">
        <w:rPr>
          <w:b/>
          <w:sz w:val="24"/>
          <w:szCs w:val="24"/>
          <w:lang w:val="de-DE"/>
        </w:rPr>
        <w:t>(3) Fähigkeiten zur Informationssuche</w:t>
      </w:r>
      <w:r w:rsidRPr="00F43FA2">
        <w:rPr>
          <w:sz w:val="24"/>
          <w:szCs w:val="24"/>
          <w:lang w:val="de-DE"/>
        </w:rPr>
        <w:t xml:space="preserve">: Anwendung der richtigen Suchstrategien; Verwendung der richtigen Wörter oder Suchanfragen, um die gesuchten Informationen zu finden; Auswahl aus allen gefundenen Informationen; Auffinden der genauen Informationen, die man sucht. </w:t>
      </w:r>
    </w:p>
    <w:p w14:paraId="20F711E9" w14:textId="77777777" w:rsidR="00A0767F" w:rsidRPr="00F43FA2" w:rsidRDefault="0055183F">
      <w:pPr>
        <w:rPr>
          <w:sz w:val="24"/>
          <w:szCs w:val="24"/>
          <w:lang w:val="de-DE"/>
        </w:rPr>
      </w:pPr>
      <w:r w:rsidRPr="00F43FA2">
        <w:rPr>
          <w:b/>
          <w:sz w:val="24"/>
          <w:szCs w:val="24"/>
          <w:lang w:val="de-DE"/>
        </w:rPr>
        <w:t>(4) Bewertung der Verlässlichkeit von Online-Informationen</w:t>
      </w:r>
      <w:r w:rsidRPr="00F43FA2">
        <w:rPr>
          <w:sz w:val="24"/>
          <w:szCs w:val="24"/>
          <w:lang w:val="de-DE"/>
        </w:rPr>
        <w:t xml:space="preserve">: entscheiden, ob die Informationen verlässlich sind oder nicht; entscheiden, ob die Informationen aus kommerziellen Interessen geschrieben wurden (z. B. von Leuten, die versuchen, ein Produkt zu verkaufen); verschiedene Websites daraufhin überprüfen, ob sie dieselben Informationen bieten; </w:t>
      </w:r>
    </w:p>
    <w:p w14:paraId="4176E1C0" w14:textId="77777777" w:rsidR="00A0767F" w:rsidRPr="00F43FA2" w:rsidRDefault="0055183F">
      <w:pPr>
        <w:rPr>
          <w:sz w:val="24"/>
          <w:szCs w:val="24"/>
          <w:lang w:val="de-DE"/>
        </w:rPr>
      </w:pPr>
      <w:r w:rsidRPr="00F43FA2">
        <w:rPr>
          <w:b/>
          <w:sz w:val="24"/>
          <w:szCs w:val="24"/>
          <w:lang w:val="de-DE"/>
        </w:rPr>
        <w:t xml:space="preserve">(5) Bestimmung der Relevanz von Online-Informationen: </w:t>
      </w:r>
      <w:r w:rsidRPr="00F43FA2">
        <w:rPr>
          <w:sz w:val="24"/>
          <w:szCs w:val="24"/>
          <w:lang w:val="de-DE"/>
        </w:rPr>
        <w:t>Entscheidung, ob die gefundenen Informationen für Sie zutreffend sind; Anwendung der gefundenen Informationen in Ihrem täglichen Leben; Nutzung der gefundenen Informationen, um Entscheidungen über Ihre Gesundheit zu treffen (z. B. über Ernährung, Medikamente oder die Entscheidung, ob Sie einen Arzt um Rat fragen sollten)</w:t>
      </w:r>
    </w:p>
    <w:p w14:paraId="08BF4EE1" w14:textId="77777777" w:rsidR="00A0767F" w:rsidRPr="00F43FA2" w:rsidRDefault="0055183F">
      <w:pPr>
        <w:rPr>
          <w:sz w:val="24"/>
          <w:szCs w:val="24"/>
          <w:lang w:val="de-DE"/>
        </w:rPr>
      </w:pPr>
      <w:r w:rsidRPr="00F43FA2">
        <w:rPr>
          <w:b/>
          <w:sz w:val="24"/>
          <w:szCs w:val="24"/>
          <w:lang w:val="de-DE"/>
        </w:rPr>
        <w:t>(6) Hinzufügen von selbst erstellten Inhalten zu webbasierten Anwendungen</w:t>
      </w:r>
      <w:r w:rsidRPr="00F43FA2">
        <w:rPr>
          <w:sz w:val="24"/>
          <w:szCs w:val="24"/>
          <w:lang w:val="de-DE"/>
        </w:rPr>
        <w:t xml:space="preserve">: </w:t>
      </w:r>
      <w:proofErr w:type="gramStart"/>
      <w:r w:rsidRPr="00F43FA2">
        <w:rPr>
          <w:sz w:val="24"/>
          <w:szCs w:val="24"/>
          <w:lang w:val="de-DE"/>
        </w:rPr>
        <w:t>z. B.</w:t>
      </w:r>
      <w:proofErr w:type="gramEnd"/>
      <w:r w:rsidRPr="00F43FA2">
        <w:rPr>
          <w:sz w:val="24"/>
          <w:szCs w:val="24"/>
          <w:lang w:val="de-DE"/>
        </w:rPr>
        <w:t xml:space="preserve"> um Ihre Frage oder gesundheitliche Sorge klar zu formulieren; um Ihre Meinung, Gedanken oder Gefühle schriftlich auszudrücken; um Ihre Nachricht als solche zu schreiben, damit andere genau verstehen, was Sie meinen.</w:t>
      </w:r>
    </w:p>
    <w:p w14:paraId="2E41D632" w14:textId="77777777" w:rsidR="00A0767F" w:rsidRPr="00F43FA2" w:rsidRDefault="0055183F">
      <w:pPr>
        <w:rPr>
          <w:sz w:val="24"/>
          <w:szCs w:val="24"/>
          <w:lang w:val="de-DE"/>
        </w:rPr>
      </w:pPr>
      <w:r w:rsidRPr="00F43FA2">
        <w:rPr>
          <w:b/>
          <w:sz w:val="24"/>
          <w:szCs w:val="24"/>
          <w:lang w:val="de-DE"/>
        </w:rPr>
        <w:t>(7) Schutz und Achtung der Privatsphäre bei der Nutzung des Internets</w:t>
      </w:r>
      <w:r w:rsidRPr="00F43FA2">
        <w:rPr>
          <w:sz w:val="24"/>
          <w:szCs w:val="24"/>
          <w:lang w:val="de-DE"/>
        </w:rPr>
        <w:t xml:space="preserve">: z. B. die Schwierigkeit, zu beurteilen, wer mitlesen kann, wenn Sie eine Nachricht in einem öffentlichen Forum oder in sozialen Medien veröffentlichen; z. B. die (absichtliche oder unabsichtliche) Weitergabe Ihrer eigenen privaten Informationen (z. B. Name oder Adresse); die (absichtliche oder unabsichtliche) Weitergabe privater Informationen anderer. </w:t>
      </w:r>
    </w:p>
    <w:p w14:paraId="2EC30871" w14:textId="142251EE" w:rsidR="00A0767F" w:rsidRPr="00F43FA2" w:rsidRDefault="0055183F">
      <w:pPr>
        <w:pStyle w:val="2"/>
        <w:rPr>
          <w:lang w:val="de-DE"/>
        </w:rPr>
      </w:pPr>
      <w:bookmarkStart w:id="6" w:name="_Toc103249339"/>
      <w:r w:rsidRPr="00F43FA2">
        <w:rPr>
          <w:lang w:val="de-DE"/>
        </w:rPr>
        <w:lastRenderedPageBreak/>
        <w:t>1.3 Die Bedeutung der digitalen G</w:t>
      </w:r>
      <w:r w:rsidR="005F3AEB">
        <w:rPr>
          <w:lang w:val="de-DE"/>
        </w:rPr>
        <w:t xml:space="preserve">esundheitskompetenz für </w:t>
      </w:r>
      <w:proofErr w:type="spellStart"/>
      <w:proofErr w:type="gramStart"/>
      <w:r w:rsidR="005F3AEB">
        <w:rPr>
          <w:lang w:val="de-DE"/>
        </w:rPr>
        <w:t>Migrant:inne</w:t>
      </w:r>
      <w:r w:rsidRPr="00F43FA2">
        <w:rPr>
          <w:lang w:val="de-DE"/>
        </w:rPr>
        <w:t>n</w:t>
      </w:r>
      <w:bookmarkEnd w:id="6"/>
      <w:proofErr w:type="spellEnd"/>
      <w:proofErr w:type="gramEnd"/>
    </w:p>
    <w:p w14:paraId="0B27AD72" w14:textId="5E7E9BAA" w:rsidR="00A0767F" w:rsidRPr="00F43FA2" w:rsidRDefault="00896E33">
      <w:pPr>
        <w:rPr>
          <w:sz w:val="24"/>
          <w:szCs w:val="24"/>
          <w:lang w:val="de-DE"/>
        </w:rPr>
      </w:pPr>
      <w:r>
        <w:rPr>
          <w:sz w:val="24"/>
          <w:szCs w:val="24"/>
          <w:lang w:val="de-DE"/>
        </w:rPr>
        <w:t>Zur</w:t>
      </w:r>
      <w:r w:rsidR="0055183F" w:rsidRPr="00F43FA2">
        <w:rPr>
          <w:sz w:val="24"/>
          <w:szCs w:val="24"/>
          <w:lang w:val="de-DE"/>
        </w:rPr>
        <w:t xml:space="preserve"> digitale</w:t>
      </w:r>
      <w:r>
        <w:rPr>
          <w:sz w:val="24"/>
          <w:szCs w:val="24"/>
          <w:lang w:val="de-DE"/>
        </w:rPr>
        <w:t>n</w:t>
      </w:r>
      <w:r w:rsidR="0055183F" w:rsidRPr="00F43FA2">
        <w:rPr>
          <w:sz w:val="24"/>
          <w:szCs w:val="24"/>
          <w:lang w:val="de-DE"/>
        </w:rPr>
        <w:t xml:space="preserve"> Eingliederung w</w:t>
      </w:r>
      <w:r>
        <w:rPr>
          <w:sz w:val="24"/>
          <w:szCs w:val="24"/>
          <w:lang w:val="de-DE"/>
        </w:rPr>
        <w:t>erden drei Komponenten benötigt: ein Computer, ein</w:t>
      </w:r>
      <w:r w:rsidR="0055183F" w:rsidRPr="00F43FA2">
        <w:rPr>
          <w:sz w:val="24"/>
          <w:szCs w:val="24"/>
          <w:lang w:val="de-DE"/>
        </w:rPr>
        <w:t xml:space="preserve"> Internetzugang und da</w:t>
      </w:r>
      <w:r>
        <w:rPr>
          <w:sz w:val="24"/>
          <w:szCs w:val="24"/>
          <w:lang w:val="de-DE"/>
        </w:rPr>
        <w:t>s Wissen, wie der Computer sowie das Internet</w:t>
      </w:r>
      <w:r w:rsidR="0055183F" w:rsidRPr="00F43FA2">
        <w:rPr>
          <w:sz w:val="24"/>
          <w:szCs w:val="24"/>
          <w:lang w:val="de-DE"/>
        </w:rPr>
        <w:t xml:space="preserve"> genutzt werden können. Aus diesem Grund können Menschen</w:t>
      </w:r>
      <w:r>
        <w:rPr>
          <w:sz w:val="24"/>
          <w:szCs w:val="24"/>
          <w:lang w:val="de-DE"/>
        </w:rPr>
        <w:t>, die Probleme im Umgang mit digitalen Technologien sowie dem Internet haben</w:t>
      </w:r>
      <w:r w:rsidR="0055183F" w:rsidRPr="00F43FA2">
        <w:rPr>
          <w:sz w:val="24"/>
          <w:szCs w:val="24"/>
          <w:lang w:val="de-DE"/>
        </w:rPr>
        <w:t>, in der Entfaltung ihres vollen Potenzials eingeschränkt werden, was ihre Integration in die Gesellschaft erschwert.</w:t>
      </w:r>
      <w:r>
        <w:rPr>
          <w:sz w:val="24"/>
          <w:szCs w:val="24"/>
          <w:lang w:val="de-DE"/>
        </w:rPr>
        <w:t xml:space="preserve"> Dies kann zu einem Gefühl der Ausgrenzung führen sowie zu einer Abhängigkeit von Personen, die über die besagten Kompetenzen verfügen </w:t>
      </w:r>
      <w:r w:rsidR="0055183F" w:rsidRPr="00F43FA2">
        <w:rPr>
          <w:sz w:val="24"/>
          <w:szCs w:val="24"/>
          <w:lang w:val="de-DE"/>
        </w:rPr>
        <w:t xml:space="preserve">(Parra und Vásquez, 2020). </w:t>
      </w:r>
    </w:p>
    <w:p w14:paraId="0C35B274" w14:textId="31CF47A2" w:rsidR="00A0767F" w:rsidRPr="00F43FA2" w:rsidRDefault="00896E33">
      <w:pPr>
        <w:rPr>
          <w:color w:val="000000"/>
          <w:sz w:val="24"/>
          <w:szCs w:val="24"/>
          <w:lang w:val="de-DE"/>
        </w:rPr>
      </w:pPr>
      <w:r>
        <w:rPr>
          <w:b/>
          <w:sz w:val="24"/>
          <w:szCs w:val="24"/>
          <w:lang w:val="de-DE"/>
        </w:rPr>
        <w:t xml:space="preserve">Gerade bei </w:t>
      </w:r>
      <w:proofErr w:type="spellStart"/>
      <w:proofErr w:type="gramStart"/>
      <w:r>
        <w:rPr>
          <w:b/>
          <w:sz w:val="24"/>
          <w:szCs w:val="24"/>
          <w:lang w:val="de-DE"/>
        </w:rPr>
        <w:t>Migrant:innen</w:t>
      </w:r>
      <w:proofErr w:type="spellEnd"/>
      <w:proofErr w:type="gramEnd"/>
      <w:r>
        <w:rPr>
          <w:b/>
          <w:sz w:val="24"/>
          <w:szCs w:val="24"/>
          <w:lang w:val="de-DE"/>
        </w:rPr>
        <w:t xml:space="preserve"> können fehlende digitale Kompetenzen die Integration in die Gesellschaft erschweren. </w:t>
      </w:r>
      <w:r w:rsidRPr="00896E33">
        <w:rPr>
          <w:sz w:val="24"/>
          <w:szCs w:val="24"/>
          <w:lang w:val="de-DE"/>
        </w:rPr>
        <w:t xml:space="preserve">Da die Nutzung digitaler Technologien bei vielen Verbänden und Vereinen, die </w:t>
      </w:r>
      <w:proofErr w:type="spellStart"/>
      <w:proofErr w:type="gramStart"/>
      <w:r w:rsidRPr="00896E33">
        <w:rPr>
          <w:sz w:val="24"/>
          <w:szCs w:val="24"/>
          <w:lang w:val="de-DE"/>
        </w:rPr>
        <w:t>Migrant:innen</w:t>
      </w:r>
      <w:proofErr w:type="spellEnd"/>
      <w:proofErr w:type="gramEnd"/>
      <w:r w:rsidRPr="00896E33">
        <w:rPr>
          <w:sz w:val="24"/>
          <w:szCs w:val="24"/>
          <w:lang w:val="de-DE"/>
        </w:rPr>
        <w:t xml:space="preserve"> auf dem Weg zu einer Integration in die Gesellschaft unterstützen, gering verbreitet ist - nur 46 % aller Verbände über eine Art von Internetpräsenz verfügen (Parra und Vásquez, 2020) – besteht hier besonderer Unterstützungsbedarf.  </w:t>
      </w:r>
    </w:p>
    <w:p w14:paraId="030BBCEC" w14:textId="47975A80" w:rsidR="00A0767F" w:rsidRPr="00F43FA2" w:rsidRDefault="0055183F">
      <w:pPr>
        <w:rPr>
          <w:color w:val="000000"/>
          <w:sz w:val="24"/>
          <w:szCs w:val="24"/>
          <w:lang w:val="de-DE"/>
        </w:rPr>
      </w:pPr>
      <w:r w:rsidRPr="00F43FA2">
        <w:rPr>
          <w:color w:val="000000"/>
          <w:sz w:val="24"/>
          <w:szCs w:val="24"/>
          <w:lang w:val="de-DE"/>
        </w:rPr>
        <w:t xml:space="preserve">Die Relevanz </w:t>
      </w:r>
      <w:r w:rsidR="00896E33">
        <w:rPr>
          <w:color w:val="000000"/>
          <w:sz w:val="24"/>
          <w:szCs w:val="24"/>
          <w:lang w:val="de-DE"/>
        </w:rPr>
        <w:t>der digitalen Kompetenzen</w:t>
      </w:r>
      <w:r w:rsidRPr="00F43FA2">
        <w:rPr>
          <w:color w:val="000000"/>
          <w:sz w:val="24"/>
          <w:szCs w:val="24"/>
          <w:lang w:val="de-DE"/>
        </w:rPr>
        <w:t xml:space="preserve"> wird </w:t>
      </w:r>
      <w:r w:rsidR="00896E33">
        <w:rPr>
          <w:color w:val="000000"/>
          <w:sz w:val="24"/>
          <w:szCs w:val="24"/>
          <w:lang w:val="de-DE"/>
        </w:rPr>
        <w:t xml:space="preserve">auch </w:t>
      </w:r>
      <w:r w:rsidRPr="00F43FA2">
        <w:rPr>
          <w:color w:val="000000"/>
          <w:sz w:val="24"/>
          <w:szCs w:val="24"/>
          <w:lang w:val="de-DE"/>
        </w:rPr>
        <w:t xml:space="preserve">in neueren Studien deutlich, die zeigen, dass die von den Menschen selbst wahrgenommenen Fähigkeiten zur Nutzung von Online-Informationen ihre Gesundheit und die Qualität ihrer Gesundheitsversorgung beeinflussen </w:t>
      </w:r>
      <w:r w:rsidR="00896E33">
        <w:rPr>
          <w:color w:val="000000"/>
          <w:sz w:val="24"/>
          <w:szCs w:val="24"/>
          <w:lang w:val="de-DE"/>
        </w:rPr>
        <w:t>können. E</w:t>
      </w:r>
      <w:r w:rsidRPr="00F43FA2">
        <w:rPr>
          <w:color w:val="000000"/>
          <w:sz w:val="24"/>
          <w:szCs w:val="24"/>
          <w:lang w:val="de-DE"/>
        </w:rPr>
        <w:t>in Mangel an solchen Fähigkeiten</w:t>
      </w:r>
      <w:r w:rsidR="00896E33">
        <w:rPr>
          <w:color w:val="000000"/>
          <w:sz w:val="24"/>
          <w:szCs w:val="24"/>
          <w:lang w:val="de-DE"/>
        </w:rPr>
        <w:t xml:space="preserve"> kann auch</w:t>
      </w:r>
      <w:r w:rsidRPr="00F43FA2">
        <w:rPr>
          <w:color w:val="000000"/>
          <w:sz w:val="24"/>
          <w:szCs w:val="24"/>
          <w:lang w:val="de-DE"/>
        </w:rPr>
        <w:t xml:space="preserve"> zu n</w:t>
      </w:r>
      <w:r w:rsidR="00896E33">
        <w:rPr>
          <w:color w:val="000000"/>
          <w:sz w:val="24"/>
          <w:szCs w:val="24"/>
          <w:lang w:val="de-DE"/>
        </w:rPr>
        <w:t>egativen Ergebnissen führen (Hsu et</w:t>
      </w:r>
      <w:r w:rsidRPr="00F43FA2">
        <w:rPr>
          <w:color w:val="000000"/>
          <w:sz w:val="24"/>
          <w:szCs w:val="24"/>
          <w:lang w:val="de-DE"/>
        </w:rPr>
        <w:t xml:space="preserve"> al., 2014)</w:t>
      </w:r>
      <w:r w:rsidR="00896E33">
        <w:rPr>
          <w:color w:val="000000"/>
          <w:sz w:val="24"/>
          <w:szCs w:val="24"/>
          <w:lang w:val="de-DE"/>
        </w:rPr>
        <w:t>. Hsu et al. (2014)</w:t>
      </w:r>
      <w:r w:rsidRPr="00F43FA2">
        <w:rPr>
          <w:color w:val="000000"/>
          <w:sz w:val="24"/>
          <w:szCs w:val="24"/>
          <w:lang w:val="de-DE"/>
        </w:rPr>
        <w:t xml:space="preserve"> fanden</w:t>
      </w:r>
      <w:r w:rsidR="00896E33">
        <w:rPr>
          <w:color w:val="000000"/>
          <w:sz w:val="24"/>
          <w:szCs w:val="24"/>
          <w:lang w:val="de-DE"/>
        </w:rPr>
        <w:t xml:space="preserve"> darüber hinaus raus, </w:t>
      </w:r>
      <w:r w:rsidRPr="00F43FA2">
        <w:rPr>
          <w:color w:val="000000"/>
          <w:sz w:val="24"/>
          <w:szCs w:val="24"/>
          <w:lang w:val="de-DE"/>
        </w:rPr>
        <w:t xml:space="preserve">dass digitale Gesundheitskompetenz mit verschiedenen Arten von Gesundheitsverhalten verbunden ist, darunter gesunde Ernährung, Bewegung und Schlafverhalten. </w:t>
      </w:r>
      <w:proofErr w:type="spellStart"/>
      <w:r w:rsidRPr="00F43FA2">
        <w:rPr>
          <w:color w:val="000000"/>
          <w:sz w:val="24"/>
          <w:szCs w:val="24"/>
          <w:lang w:val="de-DE"/>
        </w:rPr>
        <w:t>Neter</w:t>
      </w:r>
      <w:proofErr w:type="spellEnd"/>
      <w:r w:rsidRPr="00F43FA2">
        <w:rPr>
          <w:color w:val="000000"/>
          <w:sz w:val="24"/>
          <w:szCs w:val="24"/>
          <w:lang w:val="de-DE"/>
        </w:rPr>
        <w:t xml:space="preserve"> und </w:t>
      </w:r>
      <w:proofErr w:type="spellStart"/>
      <w:r w:rsidRPr="00F43FA2">
        <w:rPr>
          <w:color w:val="000000"/>
          <w:sz w:val="24"/>
          <w:szCs w:val="24"/>
          <w:lang w:val="de-DE"/>
        </w:rPr>
        <w:t>Brainin</w:t>
      </w:r>
      <w:proofErr w:type="spellEnd"/>
      <w:r w:rsidRPr="00F43FA2">
        <w:rPr>
          <w:color w:val="000000"/>
          <w:sz w:val="24"/>
          <w:szCs w:val="24"/>
          <w:lang w:val="de-DE"/>
        </w:rPr>
        <w:t xml:space="preserve"> (</w:t>
      </w:r>
      <w:proofErr w:type="spellStart"/>
      <w:r w:rsidRPr="00F43FA2">
        <w:rPr>
          <w:color w:val="000000"/>
          <w:sz w:val="24"/>
          <w:szCs w:val="24"/>
          <w:lang w:val="de-DE"/>
        </w:rPr>
        <w:t>Neter</w:t>
      </w:r>
      <w:proofErr w:type="spellEnd"/>
      <w:r w:rsidRPr="00F43FA2">
        <w:rPr>
          <w:color w:val="000000"/>
          <w:sz w:val="24"/>
          <w:szCs w:val="24"/>
          <w:lang w:val="de-DE"/>
        </w:rPr>
        <w:t xml:space="preserve"> &amp; </w:t>
      </w:r>
      <w:proofErr w:type="spellStart"/>
      <w:r w:rsidRPr="00F43FA2">
        <w:rPr>
          <w:color w:val="000000"/>
          <w:sz w:val="24"/>
          <w:szCs w:val="24"/>
          <w:lang w:val="de-DE"/>
        </w:rPr>
        <w:t>Brainin</w:t>
      </w:r>
      <w:proofErr w:type="spellEnd"/>
      <w:r w:rsidRPr="00F43FA2">
        <w:rPr>
          <w:color w:val="000000"/>
          <w:sz w:val="24"/>
          <w:szCs w:val="24"/>
          <w:lang w:val="de-DE"/>
        </w:rPr>
        <w:t>, 2012) fanden Zusammenhänge zwischen digitaler Gesundheitskompetenz und dem Vorhandensein chronischer Krankheiten, wahrgenommenen Selbstmanagementfähigkeiten und einem besseren selbst wahrgenommenen Verständnis von Gesundheitszustand, Symptomen und Behandlungsmöglichkeiten.</w:t>
      </w:r>
    </w:p>
    <w:p w14:paraId="22371FA1" w14:textId="77777777" w:rsidR="00FD1591" w:rsidRPr="00F43FA2" w:rsidRDefault="00FD1591">
      <w:pPr>
        <w:rPr>
          <w:sz w:val="24"/>
          <w:szCs w:val="24"/>
          <w:lang w:val="de-DE"/>
        </w:rPr>
      </w:pPr>
    </w:p>
    <w:p w14:paraId="745B66B9" w14:textId="77777777" w:rsidR="00A0767F" w:rsidRPr="00F43FA2" w:rsidRDefault="0055183F">
      <w:pPr>
        <w:rPr>
          <w:color w:val="000000"/>
          <w:sz w:val="24"/>
          <w:szCs w:val="24"/>
          <w:lang w:val="de-DE"/>
        </w:rPr>
      </w:pPr>
      <w:r w:rsidRPr="00F43FA2">
        <w:rPr>
          <w:b/>
          <w:sz w:val="24"/>
          <w:szCs w:val="24"/>
          <w:lang w:val="de-DE"/>
        </w:rPr>
        <w:t xml:space="preserve">Haftungsausschluss: </w:t>
      </w:r>
      <w:r w:rsidRPr="00F43FA2">
        <w:rPr>
          <w:sz w:val="24"/>
          <w:szCs w:val="24"/>
          <w:lang w:val="de-DE"/>
        </w:rPr>
        <w:t>Die Referenzen und Informationsquellen, die bei der Erstellung der Materialien verwendet wurden, stammen im Allgemeinen von der WHO, der Europäischen Kommission und spezialisierten Quellen und Ressourcen in jedem der Länder, die dem Konsortium angehören. Weitere Informationen finden Sie in Modul 5.</w:t>
      </w:r>
      <w:r w:rsidRPr="00F43FA2">
        <w:rPr>
          <w:lang w:val="de-DE"/>
        </w:rPr>
        <w:br w:type="page"/>
      </w:r>
    </w:p>
    <w:p w14:paraId="7180C1DD" w14:textId="77777777" w:rsidR="00A0767F" w:rsidRPr="00F43FA2" w:rsidRDefault="0055183F">
      <w:pPr>
        <w:pStyle w:val="1"/>
        <w:rPr>
          <w:lang w:val="de-DE"/>
        </w:rPr>
      </w:pPr>
      <w:bookmarkStart w:id="7" w:name="_Toc103249340"/>
      <w:r w:rsidRPr="00F43FA2">
        <w:rPr>
          <w:lang w:val="de-DE"/>
        </w:rPr>
        <w:lastRenderedPageBreak/>
        <w:t>Referenzen</w:t>
      </w:r>
      <w:bookmarkEnd w:id="7"/>
    </w:p>
    <w:p w14:paraId="739A3963" w14:textId="77777777" w:rsidR="00A0767F" w:rsidRDefault="0055183F">
      <w:r w:rsidRPr="00F43FA2">
        <w:rPr>
          <w:lang w:val="de-DE"/>
        </w:rPr>
        <w:t xml:space="preserve">Europäische Kommission (2022). ERASMUS + Programmleitfaden. </w:t>
      </w:r>
      <w:r>
        <w:t xml:space="preserve">Version 2. </w:t>
      </w:r>
    </w:p>
    <w:p w14:paraId="7E987FC6" w14:textId="77777777" w:rsidR="00A0767F" w:rsidRDefault="0055183F">
      <w:r>
        <w:t xml:space="preserve">Hsu W, Chiang C, Yang S. The effect of individual factors on health </w:t>
      </w:r>
      <w:proofErr w:type="spellStart"/>
      <w:r>
        <w:t>behaviors</w:t>
      </w:r>
      <w:proofErr w:type="spellEnd"/>
      <w:r>
        <w:t xml:space="preserve"> among college students: the mediating effects of eHealth literacy. J Med Internet Res 2014;16(12</w:t>
      </w:r>
      <w:proofErr w:type="gramStart"/>
      <w:r>
        <w:t>):e</w:t>
      </w:r>
      <w:proofErr w:type="gramEnd"/>
      <w:r>
        <w:t>287 [FREE Full text] [</w:t>
      </w:r>
      <w:proofErr w:type="spellStart"/>
      <w:r>
        <w:t>doi</w:t>
      </w:r>
      <w:proofErr w:type="spellEnd"/>
      <w:r>
        <w:t>: 10.2196/jmir.3542] [Medline:25499086]</w:t>
      </w:r>
    </w:p>
    <w:p w14:paraId="3B6AD607" w14:textId="77777777" w:rsidR="00A0767F" w:rsidRDefault="0055183F">
      <w:proofErr w:type="spellStart"/>
      <w:r>
        <w:t>Neter</w:t>
      </w:r>
      <w:proofErr w:type="spellEnd"/>
      <w:r>
        <w:t xml:space="preserve"> E, </w:t>
      </w:r>
      <w:proofErr w:type="spellStart"/>
      <w:r>
        <w:t>Brainin</w:t>
      </w:r>
      <w:proofErr w:type="spellEnd"/>
      <w:r>
        <w:t xml:space="preserve"> E. eHealth literacy: extending the digital divide to the realm of health information. J Med Internet Res 2012 Jan;14(1</w:t>
      </w:r>
      <w:proofErr w:type="gramStart"/>
      <w:r>
        <w:t>):e</w:t>
      </w:r>
      <w:proofErr w:type="gramEnd"/>
      <w:r>
        <w:t>19 [FREE Full text] [</w:t>
      </w:r>
      <w:proofErr w:type="spellStart"/>
      <w:r>
        <w:t>doi</w:t>
      </w:r>
      <w:proofErr w:type="spellEnd"/>
      <w:r>
        <w:t>: 10.2196/jmir.1619] [Medline: 22357448]</w:t>
      </w:r>
    </w:p>
    <w:p w14:paraId="0CA19134" w14:textId="77777777" w:rsidR="00A0767F" w:rsidRPr="00F43FA2" w:rsidRDefault="0055183F">
      <w:pPr>
        <w:rPr>
          <w:lang w:val="de-DE"/>
        </w:rPr>
      </w:pPr>
      <w:r w:rsidRPr="00F43FA2">
        <w:rPr>
          <w:lang w:val="de-DE"/>
        </w:rPr>
        <w:t xml:space="preserve">Norman, C.; Skinner, H. (2006). </w:t>
      </w:r>
      <w:proofErr w:type="spellStart"/>
      <w:r w:rsidRPr="00F43FA2">
        <w:rPr>
          <w:lang w:val="de-DE"/>
        </w:rPr>
        <w:t>eHealth</w:t>
      </w:r>
      <w:proofErr w:type="spellEnd"/>
      <w:r w:rsidRPr="00F43FA2">
        <w:rPr>
          <w:lang w:val="de-DE"/>
        </w:rPr>
        <w:t xml:space="preserve"> </w:t>
      </w:r>
      <w:proofErr w:type="spellStart"/>
      <w:r w:rsidRPr="00F43FA2">
        <w:rPr>
          <w:lang w:val="de-DE"/>
        </w:rPr>
        <w:t>Literacy</w:t>
      </w:r>
      <w:proofErr w:type="spellEnd"/>
      <w:r w:rsidRPr="00F43FA2">
        <w:rPr>
          <w:lang w:val="de-DE"/>
        </w:rPr>
        <w:t xml:space="preserve">: Wesentliche Fähigkeiten für die Gesundheit der Verbraucher in einer vernetzten Welt. </w:t>
      </w:r>
      <w:r w:rsidRPr="00F43FA2">
        <w:rPr>
          <w:i/>
          <w:lang w:val="de-DE"/>
        </w:rPr>
        <w:t xml:space="preserve">J </w:t>
      </w:r>
      <w:proofErr w:type="spellStart"/>
      <w:r w:rsidRPr="00F43FA2">
        <w:rPr>
          <w:i/>
          <w:lang w:val="de-DE"/>
        </w:rPr>
        <w:t>Med</w:t>
      </w:r>
      <w:proofErr w:type="spellEnd"/>
      <w:r w:rsidRPr="00F43FA2">
        <w:rPr>
          <w:i/>
          <w:lang w:val="de-DE"/>
        </w:rPr>
        <w:t xml:space="preserve"> Internet Res </w:t>
      </w:r>
      <w:r w:rsidRPr="00F43FA2">
        <w:rPr>
          <w:lang w:val="de-DE"/>
        </w:rPr>
        <w:t>8(2</w:t>
      </w:r>
      <w:proofErr w:type="gramStart"/>
      <w:r w:rsidRPr="00F43FA2">
        <w:rPr>
          <w:lang w:val="de-DE"/>
        </w:rPr>
        <w:t>):e</w:t>
      </w:r>
      <w:proofErr w:type="gramEnd"/>
      <w:r w:rsidRPr="00F43FA2">
        <w:rPr>
          <w:lang w:val="de-DE"/>
        </w:rPr>
        <w:t>9. DOI: 10.2196/jmir.8.2.e9</w:t>
      </w:r>
    </w:p>
    <w:p w14:paraId="2D4C3662" w14:textId="77777777" w:rsidR="00A0767F" w:rsidRDefault="0055183F">
      <w:r w:rsidRPr="00F43FA2">
        <w:rPr>
          <w:lang w:val="de-DE"/>
        </w:rPr>
        <w:t xml:space="preserve">Parra, J. C. T., und Vásquez, J. E. T. (2020). Die Nutzung sozialer Netzwerke und die digitale Kluft im assoziativen Gefüge der Einwanderer in Spanien. </w:t>
      </w:r>
      <w:r>
        <w:t xml:space="preserve">TERRA: </w:t>
      </w:r>
      <w:proofErr w:type="spellStart"/>
      <w:r>
        <w:t>Revista</w:t>
      </w:r>
      <w:proofErr w:type="spellEnd"/>
      <w:r>
        <w:t xml:space="preserve"> de Desarrollo Local, (7), 263- 284.</w:t>
      </w:r>
    </w:p>
    <w:p w14:paraId="5FCF13CF" w14:textId="77777777" w:rsidR="00A0767F" w:rsidRPr="00F43FA2" w:rsidRDefault="0055183F">
      <w:pPr>
        <w:rPr>
          <w:lang w:val="de-DE"/>
        </w:rPr>
      </w:pPr>
      <w:r>
        <w:t xml:space="preserve">van der </w:t>
      </w:r>
      <w:proofErr w:type="spellStart"/>
      <w:r>
        <w:t>Vaart</w:t>
      </w:r>
      <w:proofErr w:type="spellEnd"/>
      <w:r>
        <w:t xml:space="preserve">, Rosalie &amp; </w:t>
      </w:r>
      <w:proofErr w:type="spellStart"/>
      <w:r>
        <w:t>Drossaert</w:t>
      </w:r>
      <w:proofErr w:type="spellEnd"/>
      <w:r>
        <w:t xml:space="preserve">, Constance. (2017). Development of the Digital Health Literacy Instrument: Measuring a Broad Spectrum of Health 1.0 and Health 2.0 Skills. </w:t>
      </w:r>
      <w:r w:rsidRPr="00F43FA2">
        <w:rPr>
          <w:lang w:val="de-DE"/>
        </w:rPr>
        <w:t xml:space="preserve">Journal </w:t>
      </w:r>
      <w:proofErr w:type="spellStart"/>
      <w:r w:rsidRPr="00F43FA2">
        <w:rPr>
          <w:lang w:val="de-DE"/>
        </w:rPr>
        <w:t>of</w:t>
      </w:r>
      <w:proofErr w:type="spellEnd"/>
      <w:r w:rsidRPr="00F43FA2">
        <w:rPr>
          <w:lang w:val="de-DE"/>
        </w:rPr>
        <w:t xml:space="preserve"> Medical Internet Research. 19. e27. 10.2196/jmir.6709.</w:t>
      </w:r>
    </w:p>
    <w:p w14:paraId="2637CD9C" w14:textId="77777777" w:rsidR="00A0767F" w:rsidRPr="00F43FA2" w:rsidRDefault="0055183F">
      <w:pPr>
        <w:rPr>
          <w:lang w:val="de-DE"/>
        </w:rPr>
      </w:pPr>
      <w:r w:rsidRPr="00F43FA2">
        <w:rPr>
          <w:lang w:val="de-DE"/>
        </w:rPr>
        <w:t xml:space="preserve">Weltgesundheitsorganisation [WHO]. 2017. </w:t>
      </w:r>
      <w:r w:rsidRPr="00F43FA2">
        <w:rPr>
          <w:i/>
          <w:lang w:val="de-DE"/>
        </w:rPr>
        <w:t xml:space="preserve">Digitale Gesundheitskompetenz. </w:t>
      </w:r>
      <w:r w:rsidRPr="00F43FA2">
        <w:rPr>
          <w:lang w:val="de-DE"/>
        </w:rPr>
        <w:t>https://www.who.int/global-coordination-mechanism/working-groups/digital_hl.pdf</w:t>
      </w:r>
    </w:p>
    <w:p w14:paraId="5587DBE2" w14:textId="77777777" w:rsidR="00FD1591" w:rsidRPr="00F43FA2" w:rsidRDefault="00FD1591">
      <w:pPr>
        <w:pBdr>
          <w:top w:val="nil"/>
          <w:left w:val="nil"/>
          <w:bottom w:val="nil"/>
          <w:right w:val="nil"/>
          <w:between w:val="nil"/>
        </w:pBdr>
        <w:rPr>
          <w:color w:val="000000"/>
          <w:sz w:val="24"/>
          <w:szCs w:val="24"/>
          <w:lang w:val="de-DE"/>
        </w:rPr>
      </w:pPr>
    </w:p>
    <w:p w14:paraId="580B637D" w14:textId="77777777" w:rsidR="00FD1591" w:rsidRPr="00F43FA2" w:rsidRDefault="00FD1591">
      <w:pPr>
        <w:pBdr>
          <w:top w:val="nil"/>
          <w:left w:val="nil"/>
          <w:bottom w:val="nil"/>
          <w:right w:val="nil"/>
          <w:between w:val="nil"/>
        </w:pBdr>
        <w:rPr>
          <w:color w:val="000000"/>
          <w:sz w:val="24"/>
          <w:szCs w:val="24"/>
          <w:lang w:val="de-DE"/>
        </w:rPr>
      </w:pPr>
    </w:p>
    <w:p w14:paraId="47F48BF3" w14:textId="77777777" w:rsidR="00FD1591" w:rsidRPr="00F43FA2" w:rsidRDefault="00FD1591">
      <w:pPr>
        <w:pBdr>
          <w:top w:val="nil"/>
          <w:left w:val="nil"/>
          <w:bottom w:val="nil"/>
          <w:right w:val="nil"/>
          <w:between w:val="nil"/>
        </w:pBdr>
        <w:ind w:left="1440"/>
        <w:rPr>
          <w:color w:val="000000"/>
          <w:sz w:val="24"/>
          <w:szCs w:val="24"/>
          <w:lang w:val="de-DE"/>
        </w:rPr>
      </w:pPr>
    </w:p>
    <w:p w14:paraId="0BA9C571" w14:textId="77777777" w:rsidR="00FD1591" w:rsidRPr="00F43FA2" w:rsidRDefault="00FD1591">
      <w:pPr>
        <w:pBdr>
          <w:top w:val="nil"/>
          <w:left w:val="nil"/>
          <w:bottom w:val="nil"/>
          <w:right w:val="nil"/>
          <w:between w:val="nil"/>
        </w:pBdr>
        <w:rPr>
          <w:color w:val="000000"/>
          <w:sz w:val="24"/>
          <w:szCs w:val="24"/>
          <w:lang w:val="de-DE"/>
        </w:rPr>
      </w:pPr>
    </w:p>
    <w:p w14:paraId="0B084391" w14:textId="77777777" w:rsidR="00FD1591" w:rsidRPr="00F43FA2" w:rsidRDefault="000C74B4">
      <w:pPr>
        <w:pBdr>
          <w:top w:val="nil"/>
          <w:left w:val="nil"/>
          <w:bottom w:val="nil"/>
          <w:right w:val="nil"/>
          <w:between w:val="nil"/>
        </w:pBdr>
        <w:rPr>
          <w:color w:val="000000"/>
          <w:sz w:val="24"/>
          <w:szCs w:val="24"/>
          <w:lang w:val="de-DE"/>
        </w:rPr>
      </w:pPr>
      <w:r w:rsidRPr="00F43FA2">
        <w:rPr>
          <w:color w:val="000000"/>
          <w:sz w:val="24"/>
          <w:szCs w:val="24"/>
          <w:lang w:val="de-DE"/>
        </w:rPr>
        <w:t xml:space="preserve"> </w:t>
      </w:r>
    </w:p>
    <w:p w14:paraId="5714B80A" w14:textId="77777777" w:rsidR="00FD1591" w:rsidRPr="00F43FA2" w:rsidRDefault="00FD1591">
      <w:pPr>
        <w:pBdr>
          <w:top w:val="nil"/>
          <w:left w:val="nil"/>
          <w:bottom w:val="nil"/>
          <w:right w:val="nil"/>
          <w:between w:val="nil"/>
        </w:pBdr>
        <w:rPr>
          <w:color w:val="000000"/>
          <w:sz w:val="24"/>
          <w:szCs w:val="24"/>
          <w:lang w:val="de-DE"/>
        </w:rPr>
      </w:pPr>
    </w:p>
    <w:p w14:paraId="50E53179" w14:textId="77777777" w:rsidR="00FD1591" w:rsidRPr="00F43FA2" w:rsidRDefault="00FD1591">
      <w:pPr>
        <w:pBdr>
          <w:top w:val="nil"/>
          <w:left w:val="nil"/>
          <w:bottom w:val="nil"/>
          <w:right w:val="nil"/>
          <w:between w:val="nil"/>
        </w:pBdr>
        <w:rPr>
          <w:color w:val="000000"/>
          <w:sz w:val="24"/>
          <w:szCs w:val="24"/>
          <w:lang w:val="de-DE"/>
        </w:rPr>
      </w:pPr>
    </w:p>
    <w:p w14:paraId="03A7C0A2" w14:textId="77777777" w:rsidR="00FD1591" w:rsidRPr="00F43FA2" w:rsidRDefault="00FD1591">
      <w:pPr>
        <w:pBdr>
          <w:top w:val="nil"/>
          <w:left w:val="nil"/>
          <w:bottom w:val="nil"/>
          <w:right w:val="nil"/>
          <w:between w:val="nil"/>
        </w:pBdr>
        <w:rPr>
          <w:color w:val="000000"/>
          <w:sz w:val="24"/>
          <w:szCs w:val="24"/>
          <w:lang w:val="de-DE"/>
        </w:rPr>
      </w:pPr>
    </w:p>
    <w:p w14:paraId="5595B9E0" w14:textId="77777777" w:rsidR="00FD1591" w:rsidRPr="00F43FA2" w:rsidRDefault="00FD1591">
      <w:pPr>
        <w:pBdr>
          <w:top w:val="nil"/>
          <w:left w:val="nil"/>
          <w:bottom w:val="nil"/>
          <w:right w:val="nil"/>
          <w:between w:val="nil"/>
        </w:pBdr>
        <w:rPr>
          <w:color w:val="000000"/>
          <w:sz w:val="24"/>
          <w:szCs w:val="24"/>
          <w:lang w:val="de-DE"/>
        </w:rPr>
      </w:pPr>
    </w:p>
    <w:sectPr w:rsidR="00FD1591" w:rsidRPr="00F43FA2">
      <w:footerReference w:type="default" r:id="rId31"/>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AD7E9" w14:textId="77777777" w:rsidR="00020B17" w:rsidRDefault="00020B17">
      <w:pPr>
        <w:spacing w:after="0" w:line="240" w:lineRule="auto"/>
      </w:pPr>
      <w:r>
        <w:separator/>
      </w:r>
    </w:p>
  </w:endnote>
  <w:endnote w:type="continuationSeparator" w:id="0">
    <w:p w14:paraId="674E4B9A" w14:textId="77777777" w:rsidR="00020B17" w:rsidRDefault="00020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Euphemia">
    <w:charset w:val="00"/>
    <w:family w:val="swiss"/>
    <w:pitch w:val="variable"/>
    <w:sig w:usb0="8000006F" w:usb1="0000004A" w:usb2="00002000" w:usb3="00000000" w:csb0="00000001" w:csb1="00000000"/>
  </w:font>
  <w:font w:name="MyriadPro-Regular">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4ABE" w14:textId="77777777" w:rsidR="00573809" w:rsidRDefault="00573809" w:rsidP="00776DC9">
    <w:pPr>
      <w:pStyle w:val="a5"/>
    </w:pPr>
  </w:p>
  <w:p w14:paraId="07E851DD" w14:textId="77777777" w:rsidR="00573809" w:rsidRDefault="00573809"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80193" w14:textId="77777777" w:rsidR="00A0767F" w:rsidRDefault="0055183F">
    <w:pPr>
      <w:pStyle w:val="a5"/>
      <w:jc w:val="center"/>
      <w:rPr>
        <w:sz w:val="14"/>
      </w:rPr>
    </w:pPr>
    <w:proofErr w:type="spellStart"/>
    <w:r w:rsidRPr="00573809">
      <w:rPr>
        <w:sz w:val="16"/>
        <w:szCs w:val="24"/>
      </w:rPr>
      <w:t>Vertrag</w:t>
    </w:r>
    <w:proofErr w:type="spellEnd"/>
    <w:r w:rsidRPr="00573809">
      <w:rPr>
        <w:sz w:val="16"/>
        <w:szCs w:val="24"/>
      </w:rPr>
      <w:t xml:space="preserve"> Nr. 2020-1-DE02-KA204-007679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9632" w14:textId="77777777" w:rsidR="00FD1591" w:rsidRDefault="00FD1591">
    <w:pPr>
      <w:pBdr>
        <w:top w:val="nil"/>
        <w:left w:val="nil"/>
        <w:bottom w:val="nil"/>
        <w:right w:val="nil"/>
        <w:between w:val="nil"/>
      </w:pBdr>
      <w:tabs>
        <w:tab w:val="center" w:pos="4536"/>
        <w:tab w:val="right" w:pos="9072"/>
      </w:tabs>
      <w:spacing w:after="0" w:line="240" w:lineRule="auto"/>
      <w:rPr>
        <w:color w:val="000000"/>
      </w:rPr>
    </w:pPr>
  </w:p>
  <w:p w14:paraId="2EB20775" w14:textId="77777777" w:rsidR="00FD1591" w:rsidRDefault="00FD1591">
    <w:pPr>
      <w:pBdr>
        <w:top w:val="nil"/>
        <w:left w:val="nil"/>
        <w:bottom w:val="nil"/>
        <w:right w:val="nil"/>
        <w:between w:val="nil"/>
      </w:pBdr>
      <w:tabs>
        <w:tab w:val="center" w:pos="4536"/>
        <w:tab w:val="right" w:pos="9072"/>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000577"/>
      <w:docPartObj>
        <w:docPartGallery w:val="Page Numbers (Bottom of Page)"/>
        <w:docPartUnique/>
      </w:docPartObj>
    </w:sdtPr>
    <w:sdtContent>
      <w:p w14:paraId="7A1233AE" w14:textId="1A1D4169" w:rsidR="00A0767F" w:rsidRDefault="0055183F">
        <w:pPr>
          <w:pStyle w:val="a5"/>
          <w:jc w:val="right"/>
        </w:pPr>
        <w:r>
          <w:fldChar w:fldCharType="begin"/>
        </w:r>
        <w:r>
          <w:instrText>PAGE   \* MERGEFORMAT</w:instrText>
        </w:r>
        <w:r>
          <w:fldChar w:fldCharType="separate"/>
        </w:r>
        <w:r w:rsidR="00A879BA" w:rsidRPr="00A879BA">
          <w:rPr>
            <w:noProof/>
            <w:lang w:val="de-DE"/>
          </w:rPr>
          <w:t>7</w:t>
        </w:r>
        <w:r>
          <w:fldChar w:fldCharType="end"/>
        </w:r>
      </w:p>
    </w:sdtContent>
  </w:sdt>
  <w:p w14:paraId="0CAF617D" w14:textId="77777777" w:rsidR="00573809" w:rsidRDefault="0057380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1CC2A" w14:textId="77777777" w:rsidR="00020B17" w:rsidRDefault="00020B17">
      <w:pPr>
        <w:spacing w:after="0" w:line="240" w:lineRule="auto"/>
      </w:pPr>
      <w:r>
        <w:separator/>
      </w:r>
    </w:p>
  </w:footnote>
  <w:footnote w:type="continuationSeparator" w:id="0">
    <w:p w14:paraId="4793A2D5" w14:textId="77777777" w:rsidR="00020B17" w:rsidRDefault="00020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8C59" w14:textId="77777777" w:rsidR="00573809" w:rsidRDefault="00573809">
    <w:pPr>
      <w:pStyle w:val="a4"/>
    </w:pPr>
  </w:p>
  <w:p w14:paraId="128EE643" w14:textId="77777777" w:rsidR="00573809" w:rsidRPr="00A335EA" w:rsidRDefault="00573809"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80AD2" w14:textId="77777777" w:rsidR="00573809" w:rsidRDefault="00573809" w:rsidP="00776DC9">
    <w:pPr>
      <w:pStyle w:val="a4"/>
    </w:pPr>
    <w:r>
      <w:tab/>
    </w:r>
    <w:r>
      <w:tab/>
      <w:t xml:space="preserve">   </w:t>
    </w:r>
    <w:r>
      <w:tab/>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ECDB6" w14:textId="77777777" w:rsidR="00FD1591" w:rsidRDefault="000C74B4">
    <w:pPr>
      <w:ind w:left="-284"/>
    </w:pPr>
    <w:r>
      <w:rPr>
        <w:noProof/>
        <w:lang w:val="de-DE"/>
      </w:rPr>
      <w:drawing>
        <wp:inline distT="0" distB="0" distL="0" distR="0" wp14:anchorId="24FA3D7C" wp14:editId="2F157D36">
          <wp:extent cx="2614930" cy="745808"/>
          <wp:effectExtent l="0" t="0" r="0" b="0"/>
          <wp:docPr id="9" name="image2.png" descr="Logo EU Erasmus+"/>
          <wp:cNvGraphicFramePr/>
          <a:graphic xmlns:a="http://schemas.openxmlformats.org/drawingml/2006/main">
            <a:graphicData uri="http://schemas.openxmlformats.org/drawingml/2006/picture">
              <pic:pic xmlns:pic="http://schemas.openxmlformats.org/drawingml/2006/picture">
                <pic:nvPicPr>
                  <pic:cNvPr id="0" name="image2.png" descr="Logo EU Erasmus+"/>
                  <pic:cNvPicPr preferRelativeResize="0"/>
                </pic:nvPicPr>
                <pic:blipFill>
                  <a:blip r:embed="rId1"/>
                  <a:srcRect/>
                  <a:stretch>
                    <a:fillRect/>
                  </a:stretch>
                </pic:blipFill>
                <pic:spPr>
                  <a:xfrm>
                    <a:off x="0" y="0"/>
                    <a:ext cx="2614930" cy="745808"/>
                  </a:xfrm>
                  <a:prstGeom prst="rect">
                    <a:avLst/>
                  </a:prstGeom>
                  <a:ln/>
                </pic:spPr>
              </pic:pic>
            </a:graphicData>
          </a:graphic>
        </wp:inline>
      </w:drawing>
    </w:r>
    <w:r>
      <w:t xml:space="preserve">                                       </w:t>
    </w:r>
    <w:r w:rsidR="00573809">
      <w:rPr>
        <w:noProof/>
        <w:lang w:val="de-DE"/>
      </w:rPr>
      <w:drawing>
        <wp:inline distT="0" distB="0" distL="0" distR="0" wp14:anchorId="66715F2D" wp14:editId="265D2408">
          <wp:extent cx="1924050" cy="552450"/>
          <wp:effectExtent l="0" t="0" r="0" b="0"/>
          <wp:docPr id="4" name="Grafik 4"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ull-700x18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05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65262E"/>
    <w:multiLevelType w:val="multilevel"/>
    <w:tmpl w:val="EABCB6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2003810">
    <w:abstractNumId w:val="1"/>
  </w:num>
  <w:num w:numId="2" w16cid:durableId="287472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YwMTc3BNLGlko6SsGpxcWZ+XkgBSa1ALs3ymEsAAAA"/>
  </w:docVars>
  <w:rsids>
    <w:rsidRoot w:val="00FD1591"/>
    <w:rsid w:val="00020B17"/>
    <w:rsid w:val="000C74B4"/>
    <w:rsid w:val="004C3B40"/>
    <w:rsid w:val="00537959"/>
    <w:rsid w:val="0055183F"/>
    <w:rsid w:val="00573809"/>
    <w:rsid w:val="005F3AEB"/>
    <w:rsid w:val="006C2554"/>
    <w:rsid w:val="007B2020"/>
    <w:rsid w:val="00896E33"/>
    <w:rsid w:val="008F5989"/>
    <w:rsid w:val="009A6743"/>
    <w:rsid w:val="00A0767F"/>
    <w:rsid w:val="00A5194F"/>
    <w:rsid w:val="00A879BA"/>
    <w:rsid w:val="00B7795D"/>
    <w:rsid w:val="00C27A80"/>
    <w:rsid w:val="00D6306E"/>
    <w:rsid w:val="00F43FA2"/>
    <w:rsid w:val="00FD15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02D9"/>
  <w15:docId w15:val="{C67F7F7C-6A30-4BCA-A273-A0D2A62D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de-DE"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7C4"/>
  </w:style>
  <w:style w:type="paragraph" w:styleId="1">
    <w:name w:val="heading 1"/>
    <w:aliases w:val="Heading 1"/>
    <w:basedOn w:val="a"/>
    <w:next w:val="a"/>
    <w:link w:val="1Char"/>
    <w:uiPriority w:val="9"/>
    <w:qFormat/>
    <w:rsid w:val="000A67C3"/>
    <w:pPr>
      <w:keepNext/>
      <w:keepLines/>
      <w:spacing w:before="240" w:after="0"/>
      <w:jc w:val="center"/>
      <w:outlineLvl w:val="0"/>
    </w:pPr>
    <w:rPr>
      <w:rFonts w:eastAsiaTheme="majorEastAsia" w:cstheme="majorBidi"/>
      <w:b/>
      <w:sz w:val="24"/>
      <w:szCs w:val="32"/>
    </w:rPr>
  </w:style>
  <w:style w:type="paragraph" w:styleId="2">
    <w:name w:val="heading 2"/>
    <w:basedOn w:val="a"/>
    <w:next w:val="a"/>
    <w:link w:val="2Char"/>
    <w:uiPriority w:val="9"/>
    <w:unhideWhenUsed/>
    <w:qFormat/>
    <w:rsid w:val="000A67C3"/>
    <w:pPr>
      <w:keepNext/>
      <w:keepLines/>
      <w:spacing w:before="40" w:after="0"/>
      <w:jc w:val="left"/>
      <w:outlineLvl w:val="1"/>
    </w:pPr>
    <w:rPr>
      <w:rFonts w:eastAsiaTheme="majorEastAsia" w:cstheme="majorBidi"/>
      <w:b/>
      <w:sz w:val="24"/>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 w:val="24"/>
      <w:szCs w:val="56"/>
    </w:rPr>
  </w:style>
  <w:style w:type="table" w:customStyle="1" w:styleId="TableNormal1">
    <w:name w:val="Table Normal1"/>
    <w:tblPr>
      <w:tblCellMar>
        <w:top w:w="0" w:type="dxa"/>
        <w:left w:w="0" w:type="dxa"/>
        <w:bottom w:w="0" w:type="dxa"/>
        <w:right w:w="0" w:type="dxa"/>
      </w:tblCellMar>
    </w:tblPr>
  </w:style>
  <w:style w:type="character" w:customStyle="1" w:styleId="1Char">
    <w:name w:val="Επικεφαλίδα 1 Char"/>
    <w:aliases w:val="Heading 1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link w:val="Char2"/>
    <w:uiPriority w:val="34"/>
    <w:qFormat/>
    <w:rsid w:val="005B411B"/>
    <w:pPr>
      <w:ind w:left="720"/>
      <w:contextualSpacing/>
    </w:p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6B5612"/>
    <w:pPr>
      <w:spacing w:before="100" w:beforeAutospacing="1" w:after="100" w:afterAutospacing="1" w:line="240" w:lineRule="auto"/>
      <w:jc w:val="left"/>
    </w:pPr>
    <w:rPr>
      <w:rFonts w:ascii="Times New Roman" w:eastAsia="Times New Roman" w:hAnsi="Times New Roman" w:cs="Times New Roman"/>
      <w:sz w:val="24"/>
      <w:szCs w:val="24"/>
      <w:lang w:val="de-DE"/>
    </w:rPr>
  </w:style>
  <w:style w:type="character" w:styleId="-">
    <w:name w:val="Hyperlink"/>
    <w:basedOn w:val="a0"/>
    <w:uiPriority w:val="99"/>
    <w:unhideWhenUsed/>
    <w:rsid w:val="004F1D76"/>
    <w:rPr>
      <w:color w:val="0563C1" w:themeColor="hyperlink"/>
      <w:u w:val="single"/>
    </w:rPr>
  </w:style>
  <w:style w:type="paragraph" w:styleId="a8">
    <w:name w:val="TOC Heading"/>
    <w:basedOn w:val="1"/>
    <w:next w:val="a"/>
    <w:uiPriority w:val="39"/>
    <w:unhideWhenUsed/>
    <w:qFormat/>
    <w:rsid w:val="00A42903"/>
    <w:pPr>
      <w:spacing w:line="259" w:lineRule="auto"/>
      <w:jc w:val="left"/>
      <w:outlineLvl w:val="9"/>
    </w:pPr>
    <w:rPr>
      <w:rFonts w:asciiTheme="majorHAnsi" w:hAnsiTheme="majorHAnsi"/>
      <w:b w:val="0"/>
      <w:color w:val="2F5496" w:themeColor="accent1" w:themeShade="BF"/>
      <w:sz w:val="32"/>
      <w:lang w:val="de-DE"/>
    </w:rPr>
  </w:style>
  <w:style w:type="paragraph" w:styleId="10">
    <w:name w:val="toc 1"/>
    <w:basedOn w:val="a"/>
    <w:next w:val="a"/>
    <w:autoRedefine/>
    <w:uiPriority w:val="39"/>
    <w:unhideWhenUsed/>
    <w:rsid w:val="00A42903"/>
    <w:pPr>
      <w:spacing w:after="100"/>
    </w:pPr>
  </w:style>
  <w:style w:type="paragraph" w:styleId="20">
    <w:name w:val="toc 2"/>
    <w:basedOn w:val="a"/>
    <w:next w:val="a"/>
    <w:autoRedefine/>
    <w:uiPriority w:val="39"/>
    <w:unhideWhenUsed/>
    <w:rsid w:val="00A42903"/>
    <w:pPr>
      <w:spacing w:after="100"/>
      <w:ind w:left="220"/>
    </w:pPr>
  </w:style>
  <w:style w:type="character" w:customStyle="1" w:styleId="tooltip">
    <w:name w:val="tooltip"/>
    <w:basedOn w:val="a0"/>
    <w:rsid w:val="00CA0641"/>
  </w:style>
  <w:style w:type="paragraph" w:styleId="a9">
    <w:name w:val="caption"/>
    <w:basedOn w:val="a"/>
    <w:next w:val="a"/>
    <w:uiPriority w:val="35"/>
    <w:unhideWhenUsed/>
    <w:qFormat/>
    <w:rsid w:val="003B3256"/>
    <w:pPr>
      <w:spacing w:after="200" w:line="240" w:lineRule="auto"/>
    </w:pPr>
    <w:rPr>
      <w:i/>
      <w:iCs/>
      <w:color w:val="44546A" w:themeColor="text2"/>
      <w:sz w:val="18"/>
      <w:szCs w:val="18"/>
    </w:rPr>
  </w:style>
  <w:style w:type="character" w:styleId="aa">
    <w:name w:val="annotation reference"/>
    <w:basedOn w:val="a0"/>
    <w:uiPriority w:val="99"/>
    <w:semiHidden/>
    <w:unhideWhenUsed/>
    <w:rsid w:val="0034690B"/>
    <w:rPr>
      <w:sz w:val="16"/>
      <w:szCs w:val="16"/>
    </w:rPr>
  </w:style>
  <w:style w:type="paragraph" w:styleId="ab">
    <w:name w:val="annotation text"/>
    <w:basedOn w:val="a"/>
    <w:link w:val="Char3"/>
    <w:uiPriority w:val="99"/>
    <w:semiHidden/>
    <w:unhideWhenUsed/>
    <w:rsid w:val="0034690B"/>
    <w:pPr>
      <w:spacing w:line="240" w:lineRule="auto"/>
    </w:pPr>
    <w:rPr>
      <w:sz w:val="20"/>
      <w:szCs w:val="20"/>
    </w:rPr>
  </w:style>
  <w:style w:type="character" w:customStyle="1" w:styleId="Char3">
    <w:name w:val="Κείμενο σχολίου Char"/>
    <w:basedOn w:val="a0"/>
    <w:link w:val="ab"/>
    <w:uiPriority w:val="99"/>
    <w:semiHidden/>
    <w:rsid w:val="0034690B"/>
    <w:rPr>
      <w:sz w:val="20"/>
      <w:szCs w:val="20"/>
    </w:rPr>
  </w:style>
  <w:style w:type="paragraph" w:styleId="ac">
    <w:name w:val="annotation subject"/>
    <w:basedOn w:val="ab"/>
    <w:next w:val="ab"/>
    <w:link w:val="Char4"/>
    <w:uiPriority w:val="99"/>
    <w:semiHidden/>
    <w:unhideWhenUsed/>
    <w:rsid w:val="0034690B"/>
    <w:rPr>
      <w:b/>
      <w:bCs/>
    </w:rPr>
  </w:style>
  <w:style w:type="character" w:customStyle="1" w:styleId="Char4">
    <w:name w:val="Θέμα σχολίου Char"/>
    <w:basedOn w:val="Char3"/>
    <w:link w:val="ac"/>
    <w:uiPriority w:val="99"/>
    <w:semiHidden/>
    <w:rsid w:val="0034690B"/>
    <w:rPr>
      <w:b/>
      <w:bCs/>
      <w:sz w:val="20"/>
      <w:szCs w:val="20"/>
    </w:rPr>
  </w:style>
  <w:style w:type="paragraph" w:styleId="ad">
    <w:name w:val="Balloon Text"/>
    <w:basedOn w:val="a"/>
    <w:link w:val="Char5"/>
    <w:uiPriority w:val="99"/>
    <w:semiHidden/>
    <w:unhideWhenUsed/>
    <w:rsid w:val="0034690B"/>
    <w:pPr>
      <w:spacing w:after="0" w:line="240" w:lineRule="auto"/>
    </w:pPr>
    <w:rPr>
      <w:rFonts w:ascii="Segoe UI" w:hAnsi="Segoe UI" w:cs="Segoe UI"/>
      <w:sz w:val="18"/>
      <w:szCs w:val="18"/>
    </w:rPr>
  </w:style>
  <w:style w:type="character" w:customStyle="1" w:styleId="Char5">
    <w:name w:val="Κείμενο πλαισίου Char"/>
    <w:basedOn w:val="a0"/>
    <w:link w:val="ad"/>
    <w:uiPriority w:val="99"/>
    <w:semiHidden/>
    <w:rsid w:val="0034690B"/>
    <w:rPr>
      <w:rFonts w:ascii="Segoe UI" w:hAnsi="Segoe UI" w:cs="Segoe UI"/>
      <w:sz w:val="18"/>
      <w:szCs w:val="18"/>
    </w:rPr>
  </w:style>
  <w:style w:type="character" w:customStyle="1" w:styleId="Char2">
    <w:name w:val="Παράγραφος λίστας Char"/>
    <w:basedOn w:val="a0"/>
    <w:link w:val="a6"/>
    <w:uiPriority w:val="34"/>
    <w:rsid w:val="00573809"/>
  </w:style>
  <w:style w:type="table" w:styleId="ae">
    <w:name w:val="Table Grid"/>
    <w:basedOn w:val="a1"/>
    <w:uiPriority w:val="39"/>
    <w:rsid w:val="00573809"/>
    <w:pPr>
      <w:spacing w:after="0" w:line="240" w:lineRule="auto"/>
      <w:jc w:val="left"/>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Char6"/>
    <w:uiPriority w:val="99"/>
    <w:unhideWhenUsed/>
    <w:rsid w:val="00573809"/>
    <w:pPr>
      <w:spacing w:before="100" w:beforeAutospacing="1" w:after="100" w:afterAutospacing="1" w:line="312" w:lineRule="auto"/>
    </w:pPr>
    <w:rPr>
      <w:rFonts w:eastAsiaTheme="minorHAnsi" w:cs="Consolas"/>
      <w:bCs/>
      <w:szCs w:val="21"/>
      <w:lang w:eastAsia="en-US"/>
    </w:rPr>
  </w:style>
  <w:style w:type="character" w:customStyle="1" w:styleId="Char6">
    <w:name w:val="Απλό κείμενο Char"/>
    <w:basedOn w:val="a0"/>
    <w:link w:val="af"/>
    <w:uiPriority w:val="99"/>
    <w:rsid w:val="00573809"/>
    <w:rPr>
      <w:rFonts w:eastAsiaTheme="minorHAnsi" w:cs="Consolas"/>
      <w:bCs/>
      <w:szCs w:val="21"/>
      <w:lang w:eastAsia="en-US"/>
    </w:rPr>
  </w:style>
  <w:style w:type="character" w:styleId="af0">
    <w:name w:val="Strong"/>
    <w:basedOn w:val="a0"/>
    <w:uiPriority w:val="22"/>
    <w:qFormat/>
    <w:rsid w:val="008F5989"/>
    <w:rPr>
      <w:b/>
      <w:bCs/>
    </w:rPr>
  </w:style>
  <w:style w:type="character" w:styleId="af1">
    <w:name w:val="Unresolved Mention"/>
    <w:basedOn w:val="a0"/>
    <w:uiPriority w:val="99"/>
    <w:semiHidden/>
    <w:unhideWhenUsed/>
    <w:rsid w:val="00D63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image" Target="media/image7.jpeg"/><Relationship Id="rId26" Type="http://schemas.openxmlformats.org/officeDocument/2006/relationships/hyperlink" Target="https://mig-dhl.eu/" TargetMode="Externa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oter" Target="foot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8.jpeg"/><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image" Target="media/image11.png"/><Relationship Id="rId30" Type="http://schemas.openxmlformats.org/officeDocument/2006/relationships/image" Target="media/image14.png"/></Relationships>
</file>

<file path=word/_rels/header3.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hbyAbhTl7vS++hg0cF57Txn4e+pg==">AMUW2mXg/XkYNXh1zVUrJJugRLPlQtyC1jNzHQQXQ/UKhEDYLHtU7VeSh0IjCJXMWJG8QCWYMYJ+JXoxWqGhrznqbmwFkXN0bCbzxbyEXat2SDsRaKA2Rv+cOi06/8Q2oNEg7b9rnwTI1VQf+xBhja80IiQdlmV5dQ1uu0Dl2GYkUQI0fzwuDqVuHXwytS3CUXb8S7g2akRLwZpIOvsP5Tuir97DkNa3tQ==</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63DB1E-AE2C-47B3-81D1-8D981BC3F7B2}">
  <ds:schemaRefs>
    <ds:schemaRef ds:uri="http://schemas.microsoft.com/sharepoint/v3/contenttype/forms"/>
  </ds:schemaRefs>
</ds:datastoreItem>
</file>

<file path=customXml/itemProps2.xml><?xml version="1.0" encoding="utf-8"?>
<ds:datastoreItem xmlns:ds="http://schemas.openxmlformats.org/officeDocument/2006/customXml" ds:itemID="{131300C8-76D6-475D-8B75-1B068A97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043E42-C5F4-4AB6-B355-2517A9376615}">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D72B720-898A-4398-A2CD-22BF655762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2548</Words>
  <Characters>13763</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keywords>, docId:C280F1398646C2380F397BEBF3EC0801</cp:keywords>
  <cp:lastModifiedBy>pantelis balaouras</cp:lastModifiedBy>
  <cp:revision>10</cp:revision>
  <cp:lastPrinted>2022-07-29T10:38:00Z</cp:lastPrinted>
  <dcterms:created xsi:type="dcterms:W3CDTF">2022-05-12T10:11:00Z</dcterms:created>
  <dcterms:modified xsi:type="dcterms:W3CDTF">2022-07-29T10:43:00Z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