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DF028" w14:textId="77777777" w:rsidR="00B83B04" w:rsidRDefault="00B83B04">
      <w:pPr>
        <w:widowControl w:val="0"/>
        <w:pBdr>
          <w:top w:val="nil"/>
          <w:left w:val="nil"/>
          <w:bottom w:val="nil"/>
          <w:right w:val="nil"/>
          <w:between w:val="nil"/>
        </w:pBdr>
        <w:spacing w:after="0" w:line="276" w:lineRule="auto"/>
        <w:jc w:val="left"/>
      </w:pPr>
    </w:p>
    <w:p w14:paraId="4DA2F33D" w14:textId="77777777" w:rsidR="00B83B04" w:rsidRDefault="00B83B04">
      <w:pPr>
        <w:pStyle w:val="1"/>
        <w:jc w:val="both"/>
      </w:pPr>
      <w:bookmarkStart w:id="0" w:name="_heading=h.edwz8u9iu70f" w:colFirst="0" w:colLast="0"/>
      <w:bookmarkEnd w:id="0"/>
    </w:p>
    <w:p w14:paraId="7F5A5AA6" w14:textId="77777777" w:rsidR="00B83B04" w:rsidRDefault="00BC77F7">
      <w:pPr>
        <w:rPr>
          <w:sz w:val="24"/>
          <w:szCs w:val="24"/>
        </w:rPr>
      </w:pPr>
      <w:r>
        <w:rPr>
          <w:noProof/>
          <w:sz w:val="24"/>
          <w:szCs w:val="24"/>
          <w:lang w:val="de-DE"/>
        </w:rPr>
        <w:drawing>
          <wp:inline distT="0" distB="0" distL="0" distR="0" wp14:anchorId="5FBEAD2F" wp14:editId="3106BDFD">
            <wp:extent cx="5731510" cy="1516380"/>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731510" cy="1516380"/>
                    </a:xfrm>
                    <a:prstGeom prst="rect">
                      <a:avLst/>
                    </a:prstGeom>
                    <a:ln/>
                  </pic:spPr>
                </pic:pic>
              </a:graphicData>
            </a:graphic>
          </wp:inline>
        </w:drawing>
      </w:r>
    </w:p>
    <w:p w14:paraId="48549D4C" w14:textId="2BDCC7CD" w:rsidR="00B83B04" w:rsidRPr="003A19E1" w:rsidRDefault="00524CF6">
      <w:pPr>
        <w:jc w:val="center"/>
        <w:rPr>
          <w:b/>
          <w:color w:val="C00000"/>
          <w:sz w:val="96"/>
          <w:szCs w:val="96"/>
          <w:lang w:val="de-DE"/>
        </w:rPr>
      </w:pPr>
      <w:r w:rsidRPr="003A19E1">
        <w:rPr>
          <w:b/>
          <w:color w:val="C00000"/>
          <w:sz w:val="96"/>
          <w:szCs w:val="96"/>
          <w:lang w:val="de-DE"/>
        </w:rPr>
        <w:t>Handbuch</w:t>
      </w:r>
    </w:p>
    <w:p w14:paraId="71234459" w14:textId="3E73B247" w:rsidR="00B83B04" w:rsidRPr="00524CF6" w:rsidRDefault="00BC77F7">
      <w:pPr>
        <w:jc w:val="center"/>
        <w:rPr>
          <w:b/>
          <w:color w:val="C00000"/>
          <w:sz w:val="32"/>
          <w:szCs w:val="32"/>
          <w:lang w:val="de-DE"/>
        </w:rPr>
      </w:pPr>
      <w:r w:rsidRPr="00524CF6">
        <w:rPr>
          <w:b/>
          <w:color w:val="C00000"/>
          <w:sz w:val="40"/>
          <w:szCs w:val="40"/>
          <w:lang w:val="de-DE"/>
        </w:rPr>
        <w:t>Modul 2</w:t>
      </w:r>
      <w:r w:rsidRPr="00524CF6">
        <w:rPr>
          <w:b/>
          <w:sz w:val="40"/>
          <w:szCs w:val="40"/>
          <w:lang w:val="de-DE"/>
        </w:rPr>
        <w:br/>
      </w:r>
      <w:r w:rsidR="00524CF6" w:rsidRPr="00524CF6">
        <w:rPr>
          <w:sz w:val="40"/>
          <w:szCs w:val="40"/>
          <w:lang w:val="de-DE"/>
        </w:rPr>
        <w:t>Die wichtigsten Gesundheitsfragen bei der Anku</w:t>
      </w:r>
      <w:r w:rsidR="00524CF6">
        <w:rPr>
          <w:sz w:val="40"/>
          <w:szCs w:val="40"/>
          <w:lang w:val="de-DE"/>
        </w:rPr>
        <w:t>nft</w:t>
      </w:r>
      <w:r w:rsidR="00524CF6" w:rsidRPr="00524CF6">
        <w:rPr>
          <w:sz w:val="40"/>
          <w:szCs w:val="40"/>
          <w:lang w:val="de-DE"/>
        </w:rPr>
        <w:t xml:space="preserve"> in einem neuen Land</w:t>
      </w:r>
    </w:p>
    <w:p w14:paraId="7101FF11" w14:textId="4E64C50A" w:rsidR="00B83B04" w:rsidRPr="00F07AE0" w:rsidRDefault="00BC77F7">
      <w:pPr>
        <w:rPr>
          <w:sz w:val="28"/>
          <w:szCs w:val="28"/>
          <w:lang w:val="de-DE"/>
        </w:rPr>
      </w:pPr>
      <w:r w:rsidRPr="00F07AE0">
        <w:rPr>
          <w:b/>
          <w:color w:val="C00000"/>
          <w:sz w:val="32"/>
          <w:szCs w:val="32"/>
          <w:lang w:val="de-DE"/>
        </w:rPr>
        <w:t>Au</w:t>
      </w:r>
      <w:r w:rsidR="00524CF6">
        <w:rPr>
          <w:b/>
          <w:color w:val="C00000"/>
          <w:sz w:val="32"/>
          <w:szCs w:val="32"/>
          <w:lang w:val="de-DE"/>
        </w:rPr>
        <w:t>tor*innen</w:t>
      </w:r>
      <w:r w:rsidRPr="00F07AE0">
        <w:rPr>
          <w:b/>
          <w:color w:val="C00000"/>
          <w:sz w:val="32"/>
          <w:szCs w:val="32"/>
          <w:lang w:val="de-DE"/>
        </w:rPr>
        <w:t>:</w:t>
      </w:r>
      <w:r w:rsidRPr="00F07AE0">
        <w:rPr>
          <w:b/>
          <w:color w:val="C00000"/>
          <w:sz w:val="32"/>
          <w:szCs w:val="32"/>
          <w:lang w:val="de-DE"/>
        </w:rPr>
        <w:br/>
      </w:r>
      <w:r w:rsidR="00F07AE0">
        <w:rPr>
          <w:sz w:val="28"/>
          <w:szCs w:val="28"/>
          <w:lang w:val="de-DE"/>
        </w:rPr>
        <w:t>Karin Drda-Kühn, media k GmbH</w:t>
      </w:r>
      <w:r w:rsidR="00402CFD">
        <w:rPr>
          <w:sz w:val="28"/>
          <w:szCs w:val="28"/>
          <w:lang w:val="de-DE"/>
        </w:rPr>
        <w:t>,</w:t>
      </w:r>
      <w:r w:rsidRPr="00F07AE0">
        <w:rPr>
          <w:sz w:val="28"/>
          <w:szCs w:val="28"/>
          <w:lang w:val="de-DE"/>
        </w:rPr>
        <w:t xml:space="preserve"> Nikole Papaevgeniou, Prolepsis</w:t>
      </w:r>
    </w:p>
    <w:p w14:paraId="74A32F60" w14:textId="77777777" w:rsidR="00B83B04" w:rsidRPr="00F07AE0" w:rsidRDefault="00B83B04">
      <w:pPr>
        <w:rPr>
          <w:sz w:val="16"/>
          <w:szCs w:val="16"/>
          <w:lang w:val="de-DE"/>
        </w:rPr>
      </w:pPr>
    </w:p>
    <w:tbl>
      <w:tblPr>
        <w:tblStyle w:val="ae"/>
        <w:tblW w:w="9026"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236"/>
        <w:gridCol w:w="1792"/>
        <w:gridCol w:w="1026"/>
        <w:gridCol w:w="1500"/>
        <w:gridCol w:w="1104"/>
        <w:gridCol w:w="1847"/>
        <w:gridCol w:w="1511"/>
        <w:gridCol w:w="10"/>
      </w:tblGrid>
      <w:tr w:rsidR="00B83B04" w14:paraId="5EAD92FE" w14:textId="77777777">
        <w:trPr>
          <w:jc w:val="center"/>
        </w:trPr>
        <w:tc>
          <w:tcPr>
            <w:tcW w:w="1956" w:type="dxa"/>
            <w:gridSpan w:val="2"/>
          </w:tcPr>
          <w:p w14:paraId="335D6DFC" w14:textId="77777777" w:rsidR="00B83B04" w:rsidRDefault="00BC77F7">
            <w:pPr>
              <w:rPr>
                <w:sz w:val="16"/>
                <w:szCs w:val="16"/>
              </w:rPr>
            </w:pPr>
            <w:r>
              <w:rPr>
                <w:noProof/>
                <w:sz w:val="16"/>
                <w:szCs w:val="16"/>
                <w:lang w:val="de-DE"/>
              </w:rPr>
              <w:drawing>
                <wp:inline distT="0" distB="0" distL="0" distR="0" wp14:anchorId="6AB36B8C" wp14:editId="0031D57F">
                  <wp:extent cx="1125908" cy="634403"/>
                  <wp:effectExtent l="0" t="0" r="0" b="0"/>
                  <wp:docPr id="21"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9"/>
                          <a:srcRect b="18123"/>
                          <a:stretch>
                            <a:fillRect/>
                          </a:stretch>
                        </pic:blipFill>
                        <pic:spPr>
                          <a:xfrm>
                            <a:off x="0" y="0"/>
                            <a:ext cx="1125908" cy="634403"/>
                          </a:xfrm>
                          <a:prstGeom prst="rect">
                            <a:avLst/>
                          </a:prstGeom>
                          <a:ln/>
                        </pic:spPr>
                      </pic:pic>
                    </a:graphicData>
                  </a:graphic>
                </wp:inline>
              </w:drawing>
            </w:r>
          </w:p>
        </w:tc>
        <w:tc>
          <w:tcPr>
            <w:tcW w:w="1036" w:type="dxa"/>
          </w:tcPr>
          <w:p w14:paraId="22513CFB" w14:textId="77777777" w:rsidR="00B83B04" w:rsidRDefault="00BC77F7">
            <w:pPr>
              <w:rPr>
                <w:sz w:val="16"/>
                <w:szCs w:val="16"/>
              </w:rPr>
            </w:pPr>
            <w:r>
              <w:rPr>
                <w:noProof/>
                <w:lang w:val="de-DE"/>
              </w:rPr>
              <w:drawing>
                <wp:anchor distT="0" distB="0" distL="114300" distR="114300" simplePos="0" relativeHeight="251658240" behindDoc="0" locked="0" layoutInCell="1" hidden="0" allowOverlap="1" wp14:anchorId="12D81160" wp14:editId="061F581C">
                  <wp:simplePos x="0" y="0"/>
                  <wp:positionH relativeFrom="column">
                    <wp:posOffset>33656</wp:posOffset>
                  </wp:positionH>
                  <wp:positionV relativeFrom="paragraph">
                    <wp:posOffset>-230956</wp:posOffset>
                  </wp:positionV>
                  <wp:extent cx="688063" cy="895980"/>
                  <wp:effectExtent l="0" t="0" r="0" b="0"/>
                  <wp:wrapNone/>
                  <wp:docPr id="2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l="17249" t="9421" r="16570" b="12063"/>
                          <a:stretch>
                            <a:fillRect/>
                          </a:stretch>
                        </pic:blipFill>
                        <pic:spPr>
                          <a:xfrm>
                            <a:off x="0" y="0"/>
                            <a:ext cx="688063" cy="895980"/>
                          </a:xfrm>
                          <a:prstGeom prst="rect">
                            <a:avLst/>
                          </a:prstGeom>
                          <a:ln/>
                        </pic:spPr>
                      </pic:pic>
                    </a:graphicData>
                  </a:graphic>
                </wp:anchor>
              </w:drawing>
            </w:r>
          </w:p>
        </w:tc>
        <w:tc>
          <w:tcPr>
            <w:tcW w:w="2632" w:type="dxa"/>
            <w:gridSpan w:val="2"/>
          </w:tcPr>
          <w:p w14:paraId="219D3A42" w14:textId="77777777" w:rsidR="00B83B04" w:rsidRDefault="00BC77F7">
            <w:pPr>
              <w:rPr>
                <w:sz w:val="16"/>
                <w:szCs w:val="16"/>
              </w:rPr>
            </w:pPr>
            <w:r>
              <w:rPr>
                <w:noProof/>
                <w:lang w:val="de-DE"/>
              </w:rPr>
              <w:drawing>
                <wp:anchor distT="0" distB="0" distL="114300" distR="114300" simplePos="0" relativeHeight="251659264" behindDoc="0" locked="0" layoutInCell="1" hidden="0" allowOverlap="1" wp14:anchorId="7B83EFE8" wp14:editId="0F97A375">
                  <wp:simplePos x="0" y="0"/>
                  <wp:positionH relativeFrom="column">
                    <wp:posOffset>69120</wp:posOffset>
                  </wp:positionH>
                  <wp:positionV relativeFrom="paragraph">
                    <wp:posOffset>126365</wp:posOffset>
                  </wp:positionV>
                  <wp:extent cx="1534538" cy="484360"/>
                  <wp:effectExtent l="0" t="0" r="0" b="0"/>
                  <wp:wrapSquare wrapText="bothSides" distT="0" distB="0" distL="114300" distR="114300"/>
                  <wp:docPr id="1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b="22683"/>
                          <a:stretch>
                            <a:fillRect/>
                          </a:stretch>
                        </pic:blipFill>
                        <pic:spPr>
                          <a:xfrm>
                            <a:off x="0" y="0"/>
                            <a:ext cx="1534538" cy="484360"/>
                          </a:xfrm>
                          <a:prstGeom prst="rect">
                            <a:avLst/>
                          </a:prstGeom>
                          <a:ln/>
                        </pic:spPr>
                      </pic:pic>
                    </a:graphicData>
                  </a:graphic>
                </wp:anchor>
              </w:drawing>
            </w:r>
          </w:p>
        </w:tc>
        <w:tc>
          <w:tcPr>
            <w:tcW w:w="1866" w:type="dxa"/>
          </w:tcPr>
          <w:p w14:paraId="27D0BDFC" w14:textId="77777777" w:rsidR="00B83B04" w:rsidRDefault="00BC77F7">
            <w:pPr>
              <w:rPr>
                <w:sz w:val="16"/>
                <w:szCs w:val="16"/>
              </w:rPr>
            </w:pPr>
            <w:r>
              <w:rPr>
                <w:noProof/>
                <w:sz w:val="16"/>
                <w:szCs w:val="16"/>
                <w:lang w:val="de-DE"/>
              </w:rPr>
              <w:drawing>
                <wp:inline distT="0" distB="0" distL="0" distR="0" wp14:anchorId="47667514" wp14:editId="40A6553C">
                  <wp:extent cx="1049772" cy="587659"/>
                  <wp:effectExtent l="0" t="0" r="0" b="0"/>
                  <wp:docPr id="1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2"/>
                          <a:srcRect l="21020" r="20316" b="18194"/>
                          <a:stretch>
                            <a:fillRect/>
                          </a:stretch>
                        </pic:blipFill>
                        <pic:spPr>
                          <a:xfrm>
                            <a:off x="0" y="0"/>
                            <a:ext cx="1049772" cy="587659"/>
                          </a:xfrm>
                          <a:prstGeom prst="rect">
                            <a:avLst/>
                          </a:prstGeom>
                          <a:ln/>
                        </pic:spPr>
                      </pic:pic>
                    </a:graphicData>
                  </a:graphic>
                </wp:inline>
              </w:drawing>
            </w:r>
          </w:p>
        </w:tc>
        <w:tc>
          <w:tcPr>
            <w:tcW w:w="1536" w:type="dxa"/>
            <w:gridSpan w:val="2"/>
          </w:tcPr>
          <w:p w14:paraId="0E153561" w14:textId="77777777" w:rsidR="00B83B04" w:rsidRDefault="00BC77F7">
            <w:pPr>
              <w:rPr>
                <w:sz w:val="16"/>
                <w:szCs w:val="16"/>
              </w:rPr>
            </w:pPr>
            <w:r>
              <w:rPr>
                <w:noProof/>
                <w:sz w:val="16"/>
                <w:szCs w:val="16"/>
                <w:lang w:val="de-DE"/>
              </w:rPr>
              <w:drawing>
                <wp:inline distT="0" distB="0" distL="0" distR="0" wp14:anchorId="4820B7E3" wp14:editId="2A3B582E">
                  <wp:extent cx="846290" cy="630274"/>
                  <wp:effectExtent l="0" t="0" r="0" b="0"/>
                  <wp:docPr id="2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3"/>
                          <a:srcRect l="13851" t="35173" r="12037" b="11431"/>
                          <a:stretch>
                            <a:fillRect/>
                          </a:stretch>
                        </pic:blipFill>
                        <pic:spPr>
                          <a:xfrm>
                            <a:off x="0" y="0"/>
                            <a:ext cx="846290" cy="630274"/>
                          </a:xfrm>
                          <a:prstGeom prst="rect">
                            <a:avLst/>
                          </a:prstGeom>
                          <a:ln/>
                        </pic:spPr>
                      </pic:pic>
                    </a:graphicData>
                  </a:graphic>
                </wp:inline>
              </w:drawing>
            </w:r>
          </w:p>
        </w:tc>
      </w:tr>
      <w:tr w:rsidR="00B83B04" w14:paraId="4E5B7EE5" w14:textId="77777777">
        <w:trPr>
          <w:gridAfter w:val="1"/>
          <w:wAfter w:w="10" w:type="dxa"/>
          <w:jc w:val="center"/>
        </w:trPr>
        <w:tc>
          <w:tcPr>
            <w:tcW w:w="142" w:type="dxa"/>
          </w:tcPr>
          <w:p w14:paraId="43ED026D" w14:textId="77777777" w:rsidR="00B83B04" w:rsidRDefault="00B83B04">
            <w:pPr>
              <w:widowControl w:val="0"/>
              <w:spacing w:line="276" w:lineRule="auto"/>
              <w:rPr>
                <w:sz w:val="16"/>
                <w:szCs w:val="16"/>
              </w:rPr>
            </w:pPr>
          </w:p>
        </w:tc>
        <w:tc>
          <w:tcPr>
            <w:tcW w:w="4366" w:type="dxa"/>
            <w:gridSpan w:val="3"/>
          </w:tcPr>
          <w:p w14:paraId="7682D581" w14:textId="77777777" w:rsidR="00B83B04" w:rsidRDefault="00BC77F7">
            <w:pPr>
              <w:jc w:val="center"/>
              <w:rPr>
                <w:sz w:val="16"/>
                <w:szCs w:val="16"/>
              </w:rPr>
            </w:pPr>
            <w:r>
              <w:rPr>
                <w:noProof/>
                <w:sz w:val="16"/>
                <w:szCs w:val="16"/>
                <w:lang w:val="de-DE"/>
              </w:rPr>
              <w:drawing>
                <wp:inline distT="0" distB="0" distL="0" distR="0" wp14:anchorId="41B2B8F3" wp14:editId="006E0CC3">
                  <wp:extent cx="930963" cy="386715"/>
                  <wp:effectExtent l="0" t="0" r="0" b="0"/>
                  <wp:docPr id="1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4"/>
                          <a:srcRect l="9456" r="8192" b="16967"/>
                          <a:stretch>
                            <a:fillRect/>
                          </a:stretch>
                        </pic:blipFill>
                        <pic:spPr>
                          <a:xfrm>
                            <a:off x="0" y="0"/>
                            <a:ext cx="930963" cy="386715"/>
                          </a:xfrm>
                          <a:prstGeom prst="rect">
                            <a:avLst/>
                          </a:prstGeom>
                          <a:ln/>
                        </pic:spPr>
                      </pic:pic>
                    </a:graphicData>
                  </a:graphic>
                </wp:inline>
              </w:drawing>
            </w:r>
          </w:p>
        </w:tc>
        <w:tc>
          <w:tcPr>
            <w:tcW w:w="4508" w:type="dxa"/>
            <w:gridSpan w:val="3"/>
          </w:tcPr>
          <w:p w14:paraId="1445A1C3" w14:textId="77777777" w:rsidR="00B83B04" w:rsidRDefault="00BC77F7">
            <w:pPr>
              <w:jc w:val="center"/>
              <w:rPr>
                <w:sz w:val="16"/>
                <w:szCs w:val="16"/>
              </w:rPr>
            </w:pPr>
            <w:r>
              <w:rPr>
                <w:noProof/>
                <w:sz w:val="16"/>
                <w:szCs w:val="16"/>
                <w:lang w:val="de-DE"/>
              </w:rPr>
              <w:drawing>
                <wp:inline distT="0" distB="0" distL="0" distR="0" wp14:anchorId="18EC3716" wp14:editId="3909FAD8">
                  <wp:extent cx="1113416" cy="393444"/>
                  <wp:effectExtent l="0" t="0" r="0" b="0"/>
                  <wp:docPr id="1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5"/>
                          <a:srcRect b="14548"/>
                          <a:stretch>
                            <a:fillRect/>
                          </a:stretch>
                        </pic:blipFill>
                        <pic:spPr>
                          <a:xfrm>
                            <a:off x="0" y="0"/>
                            <a:ext cx="1113416" cy="393444"/>
                          </a:xfrm>
                          <a:prstGeom prst="rect">
                            <a:avLst/>
                          </a:prstGeom>
                          <a:ln/>
                        </pic:spPr>
                      </pic:pic>
                    </a:graphicData>
                  </a:graphic>
                </wp:inline>
              </w:drawing>
            </w:r>
          </w:p>
        </w:tc>
      </w:tr>
    </w:tbl>
    <w:p w14:paraId="271FF4DB" w14:textId="2722F0B8" w:rsidR="00B83B04" w:rsidRDefault="00402CFD">
      <w:pPr>
        <w:rPr>
          <w:sz w:val="16"/>
          <w:szCs w:val="16"/>
        </w:rPr>
      </w:pPr>
      <w:r>
        <w:rPr>
          <w:noProof/>
          <w:sz w:val="16"/>
          <w:szCs w:val="16"/>
          <w:lang w:val="de-DE"/>
        </w:rPr>
        <w:drawing>
          <wp:anchor distT="0" distB="0" distL="114300" distR="114300" simplePos="0" relativeHeight="251660288" behindDoc="1" locked="0" layoutInCell="1" allowOverlap="1" wp14:anchorId="270D258F" wp14:editId="01998979">
            <wp:simplePos x="0" y="0"/>
            <wp:positionH relativeFrom="margin">
              <wp:align>left</wp:align>
            </wp:positionH>
            <wp:positionV relativeFrom="paragraph">
              <wp:posOffset>285115</wp:posOffset>
            </wp:positionV>
            <wp:extent cx="1707515" cy="442595"/>
            <wp:effectExtent l="0" t="0" r="6985" b="0"/>
            <wp:wrapTight wrapText="bothSides">
              <wp:wrapPolygon edited="0">
                <wp:start x="0" y="0"/>
                <wp:lineTo x="0" y="20453"/>
                <wp:lineTo x="21447" y="20453"/>
                <wp:lineTo x="21447"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Kofinanzierung_durch_E_RG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07515" cy="442595"/>
                    </a:xfrm>
                    <a:prstGeom prst="rect">
                      <a:avLst/>
                    </a:prstGeom>
                  </pic:spPr>
                </pic:pic>
              </a:graphicData>
            </a:graphic>
            <wp14:sizeRelH relativeFrom="margin">
              <wp14:pctWidth>0</wp14:pctWidth>
            </wp14:sizeRelH>
            <wp14:sizeRelV relativeFrom="margin">
              <wp14:pctHeight>0</wp14:pctHeight>
            </wp14:sizeRelV>
          </wp:anchor>
        </w:drawing>
      </w:r>
    </w:p>
    <w:p w14:paraId="51933889" w14:textId="5D3893A2" w:rsidR="00402CFD" w:rsidRDefault="00402CFD" w:rsidP="00402CFD">
      <w:pPr>
        <w:spacing w:after="0" w:line="240" w:lineRule="auto"/>
        <w:rPr>
          <w:sz w:val="16"/>
          <w:szCs w:val="16"/>
          <w:lang w:val="de-DE"/>
        </w:rPr>
      </w:pPr>
      <w:r w:rsidRPr="00402CFD">
        <w:rPr>
          <w:sz w:val="16"/>
          <w:szCs w:val="16"/>
          <w:lang w:val="de-DE"/>
        </w:rPr>
        <w:t>Die Unterstützung der Europäischen Kommission für die Erstellung dieser Veröffentlichung stellt keine Billigung des Inhalts dar, der ausschließlich die Ansichten der Autor</w:t>
      </w:r>
      <w:r>
        <w:rPr>
          <w:sz w:val="16"/>
          <w:szCs w:val="16"/>
          <w:lang w:val="de-DE"/>
        </w:rPr>
        <w:t>*inn</w:t>
      </w:r>
      <w:r w:rsidRPr="00402CFD">
        <w:rPr>
          <w:sz w:val="16"/>
          <w:szCs w:val="16"/>
          <w:lang w:val="de-DE"/>
        </w:rPr>
        <w:t xml:space="preserve">en widerspiegelt, </w:t>
      </w:r>
      <w:r w:rsidRPr="00402CFD">
        <w:rPr>
          <w:sz w:val="16"/>
          <w:szCs w:val="16"/>
          <w:lang w:val="de-DE"/>
        </w:rPr>
        <w:lastRenderedPageBreak/>
        <w:t xml:space="preserve">und die Kommission kann nicht für eine etwaige Verwendung der darin enthaltenen Informationen verantwortlich gemacht werden. Projektnummer: 2020-1-DE02-KA204-007679. </w:t>
      </w:r>
    </w:p>
    <w:p w14:paraId="713A4B97" w14:textId="77777777" w:rsidR="00402CFD" w:rsidRDefault="00402CFD" w:rsidP="00402CFD">
      <w:pPr>
        <w:rPr>
          <w:sz w:val="16"/>
          <w:szCs w:val="16"/>
          <w:lang w:val="de-DE"/>
        </w:rPr>
      </w:pPr>
    </w:p>
    <w:p w14:paraId="6472E6CD" w14:textId="77777777" w:rsidR="00402CFD" w:rsidRDefault="00402CFD" w:rsidP="00402CFD">
      <w:pPr>
        <w:rPr>
          <w:sz w:val="16"/>
          <w:szCs w:val="16"/>
          <w:lang w:val="de-DE"/>
        </w:rPr>
      </w:pPr>
    </w:p>
    <w:p w14:paraId="6FF41BE0" w14:textId="77777777" w:rsidR="00092EC4" w:rsidRDefault="00092EC4" w:rsidP="00402CFD">
      <w:pPr>
        <w:rPr>
          <w:sz w:val="24"/>
          <w:szCs w:val="24"/>
          <w:lang w:val="de-DE"/>
        </w:rPr>
      </w:pPr>
    </w:p>
    <w:p w14:paraId="02DE600F" w14:textId="77777777" w:rsidR="00092EC4" w:rsidRDefault="00092EC4" w:rsidP="00402CFD">
      <w:pPr>
        <w:rPr>
          <w:sz w:val="24"/>
          <w:szCs w:val="24"/>
          <w:lang w:val="de-DE"/>
        </w:rPr>
      </w:pPr>
    </w:p>
    <w:p w14:paraId="2817C058" w14:textId="77777777" w:rsidR="00092EC4" w:rsidRDefault="00092EC4" w:rsidP="00402CFD">
      <w:pPr>
        <w:rPr>
          <w:sz w:val="24"/>
          <w:szCs w:val="24"/>
          <w:lang w:val="de-DE"/>
        </w:rPr>
      </w:pPr>
    </w:p>
    <w:p w14:paraId="17DACC95" w14:textId="7E8B02CA" w:rsidR="00B83B04" w:rsidRPr="00524CF6" w:rsidRDefault="00524CF6" w:rsidP="00402CFD">
      <w:pPr>
        <w:rPr>
          <w:b/>
          <w:sz w:val="24"/>
          <w:szCs w:val="24"/>
          <w:lang w:val="de-DE"/>
        </w:rPr>
      </w:pPr>
      <w:r w:rsidRPr="00524CF6">
        <w:rPr>
          <w:sz w:val="24"/>
          <w:szCs w:val="24"/>
          <w:lang w:val="de-DE"/>
        </w:rPr>
        <w:t>Dieses Handbuch für Modul 2 ist Teil des MIG-DHL-Progra</w:t>
      </w:r>
      <w:r w:rsidR="00092EC4">
        <w:rPr>
          <w:sz w:val="24"/>
          <w:szCs w:val="24"/>
          <w:lang w:val="de-DE"/>
        </w:rPr>
        <w:t>mms mit insgesamt 6 Lernmodulen. D</w:t>
      </w:r>
      <w:r w:rsidRPr="00524CF6">
        <w:rPr>
          <w:sz w:val="24"/>
          <w:szCs w:val="24"/>
          <w:lang w:val="de-DE"/>
        </w:rPr>
        <w:t>as</w:t>
      </w:r>
      <w:r w:rsidR="00092EC4">
        <w:rPr>
          <w:sz w:val="24"/>
          <w:szCs w:val="24"/>
          <w:lang w:val="de-DE"/>
        </w:rPr>
        <w:t xml:space="preserve"> Handbuch wurde</w:t>
      </w:r>
      <w:r w:rsidRPr="00524CF6">
        <w:rPr>
          <w:sz w:val="24"/>
          <w:szCs w:val="24"/>
          <w:lang w:val="de-DE"/>
        </w:rPr>
        <w:t xml:space="preserve"> im Rahmen der strategischen Erasmus+ Partnerschaft </w:t>
      </w:r>
      <w:r w:rsidRPr="00524CF6">
        <w:rPr>
          <w:b/>
          <w:bCs/>
          <w:sz w:val="24"/>
          <w:szCs w:val="24"/>
          <w:lang w:val="de-DE"/>
        </w:rPr>
        <w:t xml:space="preserve">MIG-DHL - Migrants Digital Health Literacy </w:t>
      </w:r>
      <w:r w:rsidR="00092EC4">
        <w:rPr>
          <w:sz w:val="24"/>
          <w:szCs w:val="24"/>
          <w:lang w:val="de-DE"/>
        </w:rPr>
        <w:t>entwickelt</w:t>
      </w:r>
      <w:r w:rsidR="00BC77F7" w:rsidRPr="00524CF6">
        <w:rPr>
          <w:b/>
          <w:sz w:val="24"/>
          <w:szCs w:val="24"/>
          <w:lang w:val="de-DE"/>
        </w:rPr>
        <w:t xml:space="preserve">. </w:t>
      </w:r>
    </w:p>
    <w:p w14:paraId="3FE72B19" w14:textId="35F7044E" w:rsidR="00B83B04" w:rsidRDefault="00524CF6" w:rsidP="00092EC4">
      <w:pPr>
        <w:keepNext/>
        <w:keepLines/>
        <w:pBdr>
          <w:bottom w:val="single" w:sz="4" w:space="1" w:color="C00000"/>
        </w:pBdr>
        <w:spacing w:before="280" w:after="480" w:line="259" w:lineRule="auto"/>
        <w:ind w:left="432"/>
        <w:jc w:val="center"/>
        <w:rPr>
          <w:color w:val="2F5496"/>
          <w:sz w:val="32"/>
          <w:szCs w:val="32"/>
        </w:rPr>
      </w:pPr>
      <w:r>
        <w:rPr>
          <w:color w:val="2F5496"/>
          <w:sz w:val="32"/>
          <w:szCs w:val="32"/>
        </w:rPr>
        <w:t>Die Schulungsinhalte im Überblick:</w:t>
      </w:r>
    </w:p>
    <w:tbl>
      <w:tblPr>
        <w:tblStyle w:val="af"/>
        <w:tblW w:w="864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83B04" w14:paraId="52BF4DA3" w14:textId="77777777" w:rsidTr="00092EC4">
        <w:trPr>
          <w:trHeight w:val="609"/>
        </w:trPr>
        <w:tc>
          <w:tcPr>
            <w:tcW w:w="8647" w:type="dxa"/>
            <w:tcBorders>
              <w:bottom w:val="single" w:sz="18" w:space="0" w:color="FFFFFF"/>
            </w:tcBorders>
            <w:shd w:val="clear" w:color="auto" w:fill="auto"/>
            <w:tcMar>
              <w:top w:w="57" w:type="dxa"/>
              <w:bottom w:w="57" w:type="dxa"/>
            </w:tcMar>
            <w:vAlign w:val="center"/>
          </w:tcPr>
          <w:p w14:paraId="226D360D" w14:textId="77777777" w:rsidR="00B83B04" w:rsidRDefault="00BC77F7" w:rsidP="00092EC4">
            <w:pPr>
              <w:jc w:val="center"/>
              <w:rPr>
                <w:b/>
                <w:color w:val="1A1364"/>
                <w:sz w:val="24"/>
                <w:szCs w:val="24"/>
              </w:rPr>
            </w:pPr>
            <w:r>
              <w:rPr>
                <w:b/>
                <w:color w:val="1A1364"/>
                <w:sz w:val="24"/>
                <w:szCs w:val="24"/>
              </w:rPr>
              <w:t>MIG-DHL Programm</w:t>
            </w:r>
          </w:p>
        </w:tc>
      </w:tr>
      <w:tr w:rsidR="00B83B04" w:rsidRPr="00402CFD" w14:paraId="2B0FDE24" w14:textId="77777777" w:rsidTr="00092EC4">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101259E8" w14:textId="3C5CA477" w:rsidR="00B83B04" w:rsidRPr="00524CF6" w:rsidRDefault="00BC77F7">
            <w:pPr>
              <w:spacing w:line="312" w:lineRule="auto"/>
              <w:rPr>
                <w:rFonts w:ascii="Arial" w:eastAsia="Arial" w:hAnsi="Arial" w:cs="Arial"/>
                <w:color w:val="FFFFFF"/>
                <w:lang w:val="de-DE"/>
              </w:rPr>
            </w:pPr>
            <w:r w:rsidRPr="00524CF6">
              <w:rPr>
                <w:rFonts w:ascii="Arial" w:eastAsia="Arial" w:hAnsi="Arial" w:cs="Arial"/>
                <w:color w:val="FFFFFF"/>
                <w:lang w:val="de-DE"/>
              </w:rPr>
              <w:t xml:space="preserve">Modul 1: </w:t>
            </w:r>
            <w:r w:rsidR="00524CF6" w:rsidRPr="00524CF6">
              <w:rPr>
                <w:rFonts w:ascii="Arial" w:eastAsia="Arial" w:hAnsi="Arial" w:cs="Arial"/>
                <w:color w:val="FFFFFF"/>
                <w:lang w:val="de-DE"/>
              </w:rPr>
              <w:t>Was ist digitale Gesundheitskompetenz und ihre Bedeutung?</w:t>
            </w:r>
          </w:p>
        </w:tc>
      </w:tr>
      <w:tr w:rsidR="00B83B04" w:rsidRPr="00402CFD" w14:paraId="4DF581D4" w14:textId="77777777" w:rsidTr="00092EC4">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C00000"/>
            <w:tcMar>
              <w:top w:w="57" w:type="dxa"/>
              <w:bottom w:w="57" w:type="dxa"/>
            </w:tcMar>
            <w:vAlign w:val="center"/>
          </w:tcPr>
          <w:p w14:paraId="1AC9E226" w14:textId="1524C3DD" w:rsidR="00B83B04" w:rsidRPr="00524CF6" w:rsidRDefault="00BC77F7">
            <w:pPr>
              <w:spacing w:line="312" w:lineRule="auto"/>
              <w:rPr>
                <w:rFonts w:ascii="Arial" w:eastAsia="Arial" w:hAnsi="Arial" w:cs="Arial"/>
                <w:b/>
                <w:color w:val="222222"/>
                <w:lang w:val="de-DE"/>
              </w:rPr>
            </w:pPr>
            <w:r w:rsidRPr="00524CF6">
              <w:rPr>
                <w:rFonts w:ascii="Arial" w:eastAsia="Arial" w:hAnsi="Arial" w:cs="Arial"/>
                <w:b/>
                <w:color w:val="222222"/>
                <w:lang w:val="de-DE"/>
              </w:rPr>
              <w:t xml:space="preserve">Modul 2: </w:t>
            </w:r>
            <w:r w:rsidR="00524CF6" w:rsidRPr="00524CF6">
              <w:rPr>
                <w:rFonts w:ascii="Arial" w:eastAsia="Arial" w:hAnsi="Arial" w:cs="Arial"/>
                <w:b/>
                <w:color w:val="222222"/>
                <w:lang w:val="de-DE"/>
              </w:rPr>
              <w:t>Die wichtigsten Gesundheitsfragen bei der An</w:t>
            </w:r>
            <w:r w:rsidR="00524CF6">
              <w:rPr>
                <w:rFonts w:ascii="Arial" w:eastAsia="Arial" w:hAnsi="Arial" w:cs="Arial"/>
                <w:b/>
                <w:color w:val="222222"/>
                <w:lang w:val="de-DE"/>
              </w:rPr>
              <w:t>kunft</w:t>
            </w:r>
            <w:r w:rsidR="00524CF6" w:rsidRPr="00524CF6">
              <w:rPr>
                <w:rFonts w:ascii="Arial" w:eastAsia="Arial" w:hAnsi="Arial" w:cs="Arial"/>
                <w:b/>
                <w:color w:val="222222"/>
                <w:lang w:val="de-DE"/>
              </w:rPr>
              <w:t xml:space="preserve"> in einem neuen Land</w:t>
            </w:r>
          </w:p>
        </w:tc>
      </w:tr>
      <w:tr w:rsidR="00B83B04" w14:paraId="4E9FB4B0" w14:textId="77777777" w:rsidTr="00092EC4">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E827A6E" w14:textId="59725370" w:rsidR="00B83B04" w:rsidRDefault="00BC77F7">
            <w:pPr>
              <w:spacing w:line="312" w:lineRule="auto"/>
              <w:rPr>
                <w:rFonts w:ascii="Arial" w:eastAsia="Arial" w:hAnsi="Arial" w:cs="Arial"/>
                <w:b/>
                <w:color w:val="FFFFFF"/>
              </w:rPr>
            </w:pPr>
            <w:r>
              <w:rPr>
                <w:rFonts w:ascii="Arial" w:eastAsia="Arial" w:hAnsi="Arial" w:cs="Arial"/>
                <w:b/>
                <w:color w:val="FFFFFF"/>
              </w:rPr>
              <w:t xml:space="preserve">Modul 3: </w:t>
            </w:r>
            <w:r w:rsidR="0097087B" w:rsidRPr="0097087B">
              <w:rPr>
                <w:rFonts w:ascii="Arial" w:eastAsia="Arial" w:hAnsi="Arial" w:cs="Arial"/>
                <w:b/>
                <w:color w:val="FFFFFF"/>
              </w:rPr>
              <w:t>Dienstleistungen im Gesundheitswesen</w:t>
            </w:r>
          </w:p>
        </w:tc>
      </w:tr>
      <w:tr w:rsidR="00B83B04" w14:paraId="3A53CB07" w14:textId="77777777" w:rsidTr="00092EC4">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5FE39EE6" w14:textId="1AEDC82B" w:rsidR="00B83B04" w:rsidRDefault="00BC77F7">
            <w:pPr>
              <w:spacing w:line="312" w:lineRule="auto"/>
              <w:rPr>
                <w:rFonts w:ascii="Arial" w:eastAsia="Arial" w:hAnsi="Arial" w:cs="Arial"/>
                <w:b/>
                <w:color w:val="FFFFFF"/>
              </w:rPr>
            </w:pPr>
            <w:r>
              <w:rPr>
                <w:rFonts w:ascii="Arial" w:eastAsia="Arial" w:hAnsi="Arial" w:cs="Arial"/>
                <w:b/>
                <w:color w:val="FFFFFF"/>
              </w:rPr>
              <w:t>Modul</w:t>
            </w:r>
            <w:r w:rsidR="00524CF6">
              <w:rPr>
                <w:rFonts w:ascii="Arial" w:eastAsia="Arial" w:hAnsi="Arial" w:cs="Arial"/>
                <w:b/>
                <w:color w:val="FFFFFF"/>
              </w:rPr>
              <w:t xml:space="preserve"> </w:t>
            </w:r>
            <w:r>
              <w:rPr>
                <w:rFonts w:ascii="Arial" w:eastAsia="Arial" w:hAnsi="Arial" w:cs="Arial"/>
                <w:b/>
                <w:color w:val="FFFFFF"/>
              </w:rPr>
              <w:t xml:space="preserve">4: </w:t>
            </w:r>
            <w:r w:rsidR="0097087B" w:rsidRPr="0097087B">
              <w:rPr>
                <w:rFonts w:ascii="Arial" w:eastAsia="Arial" w:hAnsi="Arial" w:cs="Arial"/>
                <w:b/>
                <w:color w:val="FFFFFF"/>
              </w:rPr>
              <w:t>Digitale Kompetenz entwickeln</w:t>
            </w:r>
          </w:p>
        </w:tc>
      </w:tr>
      <w:tr w:rsidR="00B83B04" w14:paraId="19607B88" w14:textId="77777777" w:rsidTr="00092EC4">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3BA08D7B" w14:textId="14183C14" w:rsidR="00B83B04" w:rsidRDefault="00BC77F7">
            <w:pPr>
              <w:spacing w:line="312" w:lineRule="auto"/>
              <w:rPr>
                <w:rFonts w:ascii="Arial" w:eastAsia="Arial" w:hAnsi="Arial" w:cs="Arial"/>
                <w:b/>
                <w:color w:val="FFFFFF"/>
              </w:rPr>
            </w:pPr>
            <w:r>
              <w:rPr>
                <w:rFonts w:ascii="Arial" w:eastAsia="Arial" w:hAnsi="Arial" w:cs="Arial"/>
                <w:b/>
                <w:color w:val="FFFFFF"/>
              </w:rPr>
              <w:t xml:space="preserve">Modul 5: </w:t>
            </w:r>
            <w:r w:rsidR="0097087B" w:rsidRPr="0097087B">
              <w:rPr>
                <w:rFonts w:ascii="Arial" w:eastAsia="Arial" w:hAnsi="Arial" w:cs="Arial"/>
                <w:b/>
                <w:color w:val="FFFFFF"/>
              </w:rPr>
              <w:t>Erkundung digitaler Gesundheitstools</w:t>
            </w:r>
          </w:p>
        </w:tc>
      </w:tr>
      <w:tr w:rsidR="00B83B04" w:rsidRPr="00402CFD" w14:paraId="4D3315D5" w14:textId="77777777" w:rsidTr="00092EC4">
        <w:trPr>
          <w:trHeight w:val="393"/>
        </w:trPr>
        <w:tc>
          <w:tcPr>
            <w:tcW w:w="8647" w:type="dxa"/>
            <w:tcBorders>
              <w:top w:val="single" w:sz="18" w:space="0" w:color="FFFFFF"/>
              <w:left w:val="single" w:sz="18" w:space="0" w:color="FFFFFF"/>
              <w:bottom w:val="single" w:sz="18" w:space="0" w:color="FFFFFF"/>
              <w:right w:val="single" w:sz="18" w:space="0" w:color="FFFFFF"/>
            </w:tcBorders>
            <w:shd w:val="clear" w:color="auto" w:fill="002060"/>
            <w:tcMar>
              <w:top w:w="57" w:type="dxa"/>
              <w:bottom w:w="57" w:type="dxa"/>
            </w:tcMar>
            <w:vAlign w:val="center"/>
          </w:tcPr>
          <w:p w14:paraId="256FCDB3" w14:textId="26C3D225" w:rsidR="00B83B04" w:rsidRPr="0097087B" w:rsidRDefault="00BC77F7">
            <w:pPr>
              <w:spacing w:line="312" w:lineRule="auto"/>
              <w:rPr>
                <w:rFonts w:ascii="Arial" w:eastAsia="Arial" w:hAnsi="Arial" w:cs="Arial"/>
                <w:b/>
                <w:color w:val="FFFFFF"/>
                <w:lang w:val="de-DE"/>
              </w:rPr>
            </w:pPr>
            <w:r w:rsidRPr="0097087B">
              <w:rPr>
                <w:rFonts w:ascii="Arial" w:eastAsia="Arial" w:hAnsi="Arial" w:cs="Arial"/>
                <w:b/>
                <w:color w:val="FFFFFF"/>
                <w:lang w:val="de-DE"/>
              </w:rPr>
              <w:t xml:space="preserve">Modul 6: </w:t>
            </w:r>
            <w:r w:rsidR="0097087B" w:rsidRPr="0097087B">
              <w:rPr>
                <w:rFonts w:ascii="Arial" w:eastAsia="Arial" w:hAnsi="Arial" w:cs="Arial"/>
                <w:b/>
                <w:color w:val="FFFFFF"/>
                <w:lang w:val="de-DE"/>
              </w:rPr>
              <w:t>Aktiv sein im digitalen Gesundheitsumfeld</w:t>
            </w:r>
          </w:p>
        </w:tc>
      </w:tr>
    </w:tbl>
    <w:p w14:paraId="606D072A" w14:textId="77777777" w:rsidR="00092EC4" w:rsidRDefault="00092EC4">
      <w:pPr>
        <w:rPr>
          <w:sz w:val="24"/>
          <w:szCs w:val="24"/>
          <w:lang w:val="de-DE"/>
        </w:rPr>
      </w:pPr>
    </w:p>
    <w:p w14:paraId="1DB7A994" w14:textId="30D4D4CA" w:rsidR="00B83B04" w:rsidRPr="0097087B" w:rsidRDefault="0097087B">
      <w:pPr>
        <w:rPr>
          <w:sz w:val="24"/>
          <w:szCs w:val="24"/>
          <w:lang w:val="de-DE"/>
        </w:rPr>
      </w:pPr>
      <w:r w:rsidRPr="0097087B">
        <w:rPr>
          <w:sz w:val="24"/>
          <w:szCs w:val="24"/>
          <w:lang w:val="de-DE"/>
        </w:rPr>
        <w:t xml:space="preserve">Weitere Informationen finden Sie auf der Homepage: </w:t>
      </w:r>
      <w:hyperlink r:id="rId17" w:history="1">
        <w:r w:rsidR="00092EC4" w:rsidRPr="00F11F45">
          <w:rPr>
            <w:rStyle w:val="-"/>
            <w:sz w:val="24"/>
            <w:szCs w:val="24"/>
            <w:lang w:val="de-DE"/>
          </w:rPr>
          <w:t>https://mig-dhl.eu/</w:t>
        </w:r>
      </w:hyperlink>
      <w:r w:rsidR="00092EC4">
        <w:rPr>
          <w:sz w:val="24"/>
          <w:szCs w:val="24"/>
          <w:lang w:val="de-DE"/>
        </w:rPr>
        <w:t xml:space="preserve"> </w:t>
      </w:r>
      <w:r w:rsidRPr="0097087B">
        <w:rPr>
          <w:sz w:val="24"/>
          <w:szCs w:val="24"/>
          <w:lang w:val="de-DE"/>
        </w:rPr>
        <w:t xml:space="preserve"> </w:t>
      </w:r>
      <w:r>
        <w:rPr>
          <w:sz w:val="24"/>
          <w:szCs w:val="24"/>
          <w:lang w:val="de-DE"/>
        </w:rPr>
        <w:t xml:space="preserve"> </w:t>
      </w:r>
      <w:r w:rsidR="00BC77F7" w:rsidRPr="0097087B">
        <w:rPr>
          <w:lang w:val="de-DE"/>
        </w:rPr>
        <w:br w:type="page"/>
      </w:r>
    </w:p>
    <w:p w14:paraId="29F15D8C" w14:textId="77777777" w:rsidR="00B83B04" w:rsidRPr="0097087B" w:rsidRDefault="00B83B04">
      <w:pPr>
        <w:jc w:val="center"/>
        <w:rPr>
          <w:sz w:val="24"/>
          <w:szCs w:val="24"/>
          <w:lang w:val="de-DE"/>
        </w:rPr>
      </w:pPr>
    </w:p>
    <w:p w14:paraId="55D9A3DE" w14:textId="77777777" w:rsidR="00092EC4" w:rsidRPr="005C1801" w:rsidRDefault="00092EC4">
      <w:pPr>
        <w:jc w:val="center"/>
        <w:rPr>
          <w:rFonts w:asciiTheme="minorHAnsi" w:hAnsiTheme="minorHAnsi" w:cstheme="minorHAnsi"/>
          <w:b/>
        </w:rPr>
      </w:pPr>
      <w:r w:rsidRPr="005C1801">
        <w:rPr>
          <w:rFonts w:asciiTheme="minorHAnsi" w:hAnsiTheme="minorHAnsi" w:cstheme="minorHAnsi"/>
          <w:b/>
        </w:rPr>
        <w:t>Erklärung zum Urheberrecht:</w:t>
      </w:r>
    </w:p>
    <w:p w14:paraId="7AED1D8C" w14:textId="1970685F" w:rsidR="00B83B04" w:rsidRPr="005C1801" w:rsidRDefault="00BC77F7">
      <w:pPr>
        <w:jc w:val="center"/>
        <w:rPr>
          <w:rFonts w:asciiTheme="minorHAnsi" w:hAnsiTheme="minorHAnsi" w:cstheme="minorHAnsi"/>
          <w:b/>
          <w:color w:val="002060"/>
        </w:rPr>
      </w:pPr>
      <w:r w:rsidRPr="005C1801">
        <w:rPr>
          <w:rFonts w:asciiTheme="minorHAnsi" w:hAnsiTheme="minorHAnsi" w:cstheme="minorHAnsi"/>
          <w:b/>
          <w:noProof/>
          <w:color w:val="002060"/>
          <w:lang w:val="de-DE"/>
        </w:rPr>
        <w:drawing>
          <wp:inline distT="0" distB="0" distL="0" distR="0" wp14:anchorId="7FAC5F1B" wp14:editId="12C99396">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18"/>
                    <a:srcRect/>
                    <a:stretch>
                      <a:fillRect/>
                    </a:stretch>
                  </pic:blipFill>
                  <pic:spPr>
                    <a:xfrm>
                      <a:off x="0" y="0"/>
                      <a:ext cx="1406013" cy="492105"/>
                    </a:xfrm>
                    <a:prstGeom prst="rect">
                      <a:avLst/>
                    </a:prstGeom>
                    <a:ln/>
                  </pic:spPr>
                </pic:pic>
              </a:graphicData>
            </a:graphic>
          </wp:inline>
        </w:drawing>
      </w:r>
    </w:p>
    <w:p w14:paraId="209F9FA8" w14:textId="19DB49AE" w:rsidR="00092EC4" w:rsidRPr="005C1801" w:rsidRDefault="00092EC4" w:rsidP="00092EC4">
      <w:pPr>
        <w:pStyle w:val="2"/>
        <w:spacing w:before="0" w:line="240" w:lineRule="auto"/>
        <w:jc w:val="center"/>
        <w:rPr>
          <w:rFonts w:asciiTheme="minorHAnsi" w:hAnsiTheme="minorHAnsi" w:cstheme="minorHAnsi"/>
          <w:color w:val="FFFFFF"/>
          <w:sz w:val="22"/>
          <w:szCs w:val="22"/>
          <w:lang w:val="de-DE"/>
        </w:rPr>
      </w:pPr>
      <w:r w:rsidRPr="005C1801">
        <w:rPr>
          <w:rStyle w:val="cc-license-title"/>
          <w:rFonts w:asciiTheme="minorHAnsi" w:hAnsiTheme="minorHAnsi" w:cstheme="minorHAnsi"/>
          <w:sz w:val="22"/>
          <w:szCs w:val="22"/>
          <w:lang w:val="de-DE"/>
        </w:rPr>
        <w:t>Namensnennung - Nicht-kommerziell - Weitergabe unter gleichen Bedingungen 4.0 International</w:t>
      </w:r>
      <w:r w:rsidRPr="005C1801">
        <w:rPr>
          <w:rFonts w:asciiTheme="minorHAnsi" w:hAnsiTheme="minorHAnsi" w:cstheme="minorHAnsi"/>
          <w:sz w:val="22"/>
          <w:szCs w:val="22"/>
          <w:lang w:val="de-DE"/>
        </w:rPr>
        <w:t> </w:t>
      </w:r>
      <w:r w:rsidRPr="005C1801">
        <w:rPr>
          <w:rStyle w:val="cc-license-identifier"/>
          <w:rFonts w:asciiTheme="minorHAnsi" w:hAnsiTheme="minorHAnsi" w:cstheme="minorHAnsi"/>
          <w:sz w:val="22"/>
          <w:szCs w:val="22"/>
          <w:lang w:val="de-DE"/>
        </w:rPr>
        <w:t>(CC BY-NC-NC-SA 4.0)</w:t>
      </w:r>
      <w:r w:rsidRPr="005C1801">
        <w:rPr>
          <w:rStyle w:val="cc-license-identifier"/>
          <w:rFonts w:asciiTheme="minorHAnsi" w:hAnsiTheme="minorHAnsi" w:cstheme="minorHAnsi"/>
          <w:color w:val="FFFFFF"/>
          <w:sz w:val="22"/>
          <w:szCs w:val="22"/>
          <w:lang w:val="de-DE"/>
        </w:rPr>
        <w:t>0)</w:t>
      </w:r>
    </w:p>
    <w:p w14:paraId="2632CDF2" w14:textId="77777777" w:rsidR="00092EC4" w:rsidRPr="005C1801" w:rsidRDefault="00BC77F7" w:rsidP="00092EC4">
      <w:pPr>
        <w:pStyle w:val="3"/>
        <w:spacing w:before="240" w:after="240" w:line="347" w:lineRule="atLeast"/>
        <w:ind w:left="192" w:right="192"/>
        <w:jc w:val="center"/>
        <w:rPr>
          <w:rFonts w:asciiTheme="minorHAnsi" w:hAnsiTheme="minorHAnsi" w:cstheme="minorHAnsi"/>
          <w:color w:val="333333"/>
          <w:sz w:val="22"/>
          <w:szCs w:val="22"/>
          <w:lang w:val="de-DE"/>
        </w:rPr>
      </w:pPr>
      <w:r w:rsidRPr="005C1801">
        <w:rPr>
          <w:rFonts w:asciiTheme="minorHAnsi" w:hAnsiTheme="minorHAnsi" w:cstheme="minorHAnsi"/>
          <w:sz w:val="22"/>
          <w:szCs w:val="22"/>
          <w:lang w:val="de-DE"/>
        </w:rPr>
        <w:br/>
      </w:r>
      <w:r w:rsidR="00092EC4" w:rsidRPr="005C1801">
        <w:rPr>
          <w:rFonts w:asciiTheme="minorHAnsi" w:hAnsiTheme="minorHAnsi" w:cstheme="minorHAnsi"/>
          <w:color w:val="333333"/>
          <w:sz w:val="22"/>
          <w:szCs w:val="22"/>
          <w:lang w:val="de-DE"/>
        </w:rPr>
        <w:t>Sie dürfen:</w:t>
      </w:r>
    </w:p>
    <w:p w14:paraId="06138F44" w14:textId="5C3BC53E" w:rsidR="00092EC4" w:rsidRPr="005C1801" w:rsidRDefault="00092EC4" w:rsidP="005C1801">
      <w:pPr>
        <w:numPr>
          <w:ilvl w:val="0"/>
          <w:numId w:val="4"/>
        </w:numPr>
        <w:spacing w:before="100" w:beforeAutospacing="1" w:after="225" w:line="240" w:lineRule="auto"/>
        <w:ind w:left="851" w:hanging="567"/>
        <w:jc w:val="left"/>
        <w:rPr>
          <w:rFonts w:asciiTheme="minorHAnsi" w:hAnsiTheme="minorHAnsi" w:cstheme="minorHAnsi"/>
          <w:color w:val="333333"/>
          <w:lang w:val="de-DE"/>
        </w:rPr>
      </w:pPr>
      <w:r w:rsidRPr="005C1801">
        <w:rPr>
          <w:rStyle w:val="af0"/>
          <w:rFonts w:asciiTheme="minorHAnsi" w:hAnsiTheme="minorHAnsi" w:cstheme="minorHAnsi"/>
          <w:color w:val="222222"/>
          <w:lang w:val="de-DE"/>
        </w:rPr>
        <w:t>Teilen</w:t>
      </w:r>
      <w:r w:rsidRPr="005C1801">
        <w:rPr>
          <w:rFonts w:asciiTheme="minorHAnsi" w:hAnsiTheme="minorHAnsi" w:cstheme="minorHAnsi"/>
          <w:color w:val="333333"/>
          <w:lang w:val="de-DE"/>
        </w:rPr>
        <w:t xml:space="preserve"> — das Material in jedwedem Format </w:t>
      </w:r>
      <w:r w:rsidR="005C1801" w:rsidRPr="005C1801">
        <w:rPr>
          <w:rFonts w:asciiTheme="minorHAnsi" w:hAnsiTheme="minorHAnsi" w:cstheme="minorHAnsi"/>
          <w:color w:val="333333"/>
          <w:lang w:val="de-DE"/>
        </w:rPr>
        <w:t>oder Medium vervielfältigen und</w:t>
      </w:r>
      <w:r w:rsidR="005C1801">
        <w:rPr>
          <w:rFonts w:asciiTheme="minorHAnsi" w:hAnsiTheme="minorHAnsi" w:cstheme="minorHAnsi"/>
          <w:color w:val="333333"/>
          <w:lang w:val="de-DE"/>
        </w:rPr>
        <w:t xml:space="preserve"> </w:t>
      </w:r>
      <w:r w:rsidRPr="005C1801">
        <w:rPr>
          <w:rFonts w:asciiTheme="minorHAnsi" w:hAnsiTheme="minorHAnsi" w:cstheme="minorHAnsi"/>
          <w:color w:val="333333"/>
          <w:lang w:val="de-DE"/>
        </w:rPr>
        <w:t>weiterverbreiten</w:t>
      </w:r>
    </w:p>
    <w:p w14:paraId="376BC8B8" w14:textId="77777777" w:rsidR="00092EC4" w:rsidRPr="005C1801" w:rsidRDefault="00092EC4" w:rsidP="00092EC4">
      <w:pPr>
        <w:numPr>
          <w:ilvl w:val="0"/>
          <w:numId w:val="4"/>
        </w:numPr>
        <w:spacing w:before="100" w:beforeAutospacing="1" w:after="225" w:line="240" w:lineRule="auto"/>
        <w:ind w:left="142" w:firstLine="142"/>
        <w:jc w:val="left"/>
        <w:rPr>
          <w:rFonts w:asciiTheme="minorHAnsi" w:hAnsiTheme="minorHAnsi" w:cstheme="minorHAnsi"/>
          <w:color w:val="333333"/>
          <w:lang w:val="de-DE"/>
        </w:rPr>
      </w:pPr>
      <w:r w:rsidRPr="005C1801">
        <w:rPr>
          <w:rStyle w:val="af0"/>
          <w:rFonts w:asciiTheme="minorHAnsi" w:hAnsiTheme="minorHAnsi" w:cstheme="minorHAnsi"/>
          <w:color w:val="222222"/>
          <w:lang w:val="de-DE"/>
        </w:rPr>
        <w:t>Bearbeiten</w:t>
      </w:r>
      <w:r w:rsidRPr="005C1801">
        <w:rPr>
          <w:rFonts w:asciiTheme="minorHAnsi" w:hAnsiTheme="minorHAnsi" w:cstheme="minorHAnsi"/>
          <w:color w:val="333333"/>
          <w:lang w:val="de-DE"/>
        </w:rPr>
        <w:t> — das Material remixen, verändern und darauf aufbauen</w:t>
      </w:r>
    </w:p>
    <w:p w14:paraId="4599A118" w14:textId="77777777" w:rsidR="00092EC4" w:rsidRPr="005C1801" w:rsidRDefault="00092EC4" w:rsidP="005C1801">
      <w:pPr>
        <w:spacing w:before="100" w:beforeAutospacing="1" w:after="225" w:line="240" w:lineRule="auto"/>
        <w:ind w:left="284" w:right="240"/>
        <w:rPr>
          <w:rFonts w:asciiTheme="minorHAnsi" w:hAnsiTheme="minorHAnsi" w:cstheme="minorHAnsi"/>
          <w:color w:val="333333"/>
          <w:lang w:val="de-DE"/>
        </w:rPr>
      </w:pPr>
      <w:r w:rsidRPr="005C1801">
        <w:rPr>
          <w:rFonts w:asciiTheme="minorHAnsi" w:hAnsiTheme="minorHAnsi" w:cstheme="minorHAnsi"/>
          <w:color w:val="333333"/>
          <w:lang w:val="de-DE"/>
        </w:rPr>
        <w:t>Der Lizenzgeber kann diese Freiheiten nicht widerrufen solange Sie sich an die Lizenzbedingungen halten.</w:t>
      </w:r>
    </w:p>
    <w:p w14:paraId="244F0A4A" w14:textId="77777777" w:rsidR="00092EC4" w:rsidRPr="005C1801" w:rsidRDefault="00092EC4" w:rsidP="00092EC4">
      <w:pPr>
        <w:pStyle w:val="3"/>
        <w:spacing w:before="240" w:after="240" w:line="347" w:lineRule="atLeast"/>
        <w:ind w:left="192" w:right="192"/>
        <w:jc w:val="center"/>
        <w:rPr>
          <w:rFonts w:asciiTheme="minorHAnsi" w:hAnsiTheme="minorHAnsi" w:cstheme="minorHAnsi"/>
          <w:color w:val="333333"/>
          <w:sz w:val="22"/>
          <w:szCs w:val="22"/>
        </w:rPr>
      </w:pPr>
      <w:r w:rsidRPr="005C1801">
        <w:rPr>
          <w:rFonts w:asciiTheme="minorHAnsi" w:hAnsiTheme="minorHAnsi" w:cstheme="minorHAnsi"/>
          <w:color w:val="333333"/>
          <w:sz w:val="22"/>
          <w:szCs w:val="22"/>
        </w:rPr>
        <w:t>Unter folgenden Bedingungen:</w:t>
      </w:r>
    </w:p>
    <w:p w14:paraId="074A91D4" w14:textId="77777777" w:rsidR="00092EC4" w:rsidRPr="005C1801" w:rsidRDefault="00092EC4" w:rsidP="005C1801">
      <w:pPr>
        <w:pStyle w:val="Web"/>
        <w:numPr>
          <w:ilvl w:val="0"/>
          <w:numId w:val="6"/>
        </w:numPr>
        <w:tabs>
          <w:tab w:val="clear" w:pos="720"/>
        </w:tabs>
        <w:spacing w:before="0" w:beforeAutospacing="0" w:after="0" w:afterAutospacing="0"/>
        <w:ind w:left="851" w:right="240" w:hanging="624"/>
        <w:rPr>
          <w:rFonts w:asciiTheme="minorHAnsi" w:hAnsiTheme="minorHAnsi" w:cstheme="minorHAnsi"/>
          <w:color w:val="333333"/>
          <w:sz w:val="22"/>
          <w:szCs w:val="22"/>
        </w:rPr>
      </w:pPr>
      <w:r w:rsidRPr="005C1801">
        <w:rPr>
          <w:rStyle w:val="af0"/>
          <w:rFonts w:asciiTheme="minorHAnsi" w:hAnsiTheme="minorHAnsi" w:cstheme="minorHAnsi"/>
          <w:color w:val="222222"/>
          <w:sz w:val="22"/>
          <w:szCs w:val="22"/>
        </w:rPr>
        <w:t>Namensnennung</w:t>
      </w:r>
      <w:r w:rsidRPr="005C1801">
        <w:rPr>
          <w:rFonts w:asciiTheme="minorHAnsi" w:hAnsiTheme="minorHAnsi" w:cstheme="minorHAnsi"/>
          <w:color w:val="333333"/>
          <w:sz w:val="22"/>
          <w:szCs w:val="22"/>
        </w:rPr>
        <w:t> — Sie müssen </w:t>
      </w:r>
      <w:hyperlink r:id="rId19" w:history="1">
        <w:r w:rsidRPr="005C1801">
          <w:rPr>
            <w:rStyle w:val="-"/>
            <w:rFonts w:asciiTheme="minorHAnsi" w:hAnsiTheme="minorHAnsi" w:cstheme="minorHAnsi"/>
            <w:color w:val="049CCF"/>
            <w:sz w:val="22"/>
            <w:szCs w:val="22"/>
          </w:rPr>
          <w:t>angemessene Urheber- und Rechteangaben machen</w:t>
        </w:r>
      </w:hyperlink>
      <w:r w:rsidRPr="005C1801">
        <w:rPr>
          <w:rFonts w:asciiTheme="minorHAnsi" w:hAnsiTheme="minorHAnsi" w:cstheme="minorHAnsi"/>
          <w:color w:val="333333"/>
          <w:sz w:val="22"/>
          <w:szCs w:val="22"/>
        </w:rPr>
        <w:t>, einen Link zur Lizenz beifügen und angeben, ob </w:t>
      </w:r>
      <w:hyperlink r:id="rId20" w:history="1">
        <w:r w:rsidRPr="005C1801">
          <w:rPr>
            <w:rStyle w:val="-"/>
            <w:rFonts w:asciiTheme="minorHAnsi" w:hAnsiTheme="minorHAnsi" w:cstheme="minorHAnsi"/>
            <w:color w:val="049CCF"/>
            <w:sz w:val="22"/>
            <w:szCs w:val="22"/>
          </w:rPr>
          <w:t>Änderungen vorgenommen</w:t>
        </w:r>
      </w:hyperlink>
      <w:r w:rsidRPr="005C1801">
        <w:rPr>
          <w:rFonts w:asciiTheme="minorHAnsi" w:hAnsiTheme="minorHAnsi" w:cstheme="minorHAnsi"/>
          <w:color w:val="333333"/>
          <w:sz w:val="22"/>
          <w:szCs w:val="22"/>
        </w:rPr>
        <w:t> wurden. Diese Angaben dürfen in jeder angemessenen Art und Weise gemacht werden, allerdings nicht so, dass der Eindruck entsteht, der Lizenzgeber unterstütze gerade Sie oder Ihre Nutzung besonders.</w:t>
      </w:r>
    </w:p>
    <w:p w14:paraId="52C9166E" w14:textId="77777777" w:rsidR="00092EC4" w:rsidRPr="005C1801" w:rsidRDefault="00092EC4" w:rsidP="005C1801">
      <w:pPr>
        <w:pStyle w:val="Web"/>
        <w:numPr>
          <w:ilvl w:val="0"/>
          <w:numId w:val="6"/>
        </w:numPr>
        <w:tabs>
          <w:tab w:val="clear" w:pos="720"/>
          <w:tab w:val="num" w:pos="851"/>
        </w:tabs>
        <w:spacing w:before="0" w:beforeAutospacing="0" w:after="0" w:afterAutospacing="0"/>
        <w:ind w:left="851" w:right="240" w:hanging="624"/>
        <w:rPr>
          <w:rFonts w:asciiTheme="minorHAnsi" w:hAnsiTheme="minorHAnsi" w:cstheme="minorHAnsi"/>
          <w:color w:val="333333"/>
          <w:sz w:val="22"/>
          <w:szCs w:val="22"/>
        </w:rPr>
      </w:pPr>
      <w:r w:rsidRPr="005C1801">
        <w:rPr>
          <w:rStyle w:val="af0"/>
          <w:rFonts w:asciiTheme="minorHAnsi" w:hAnsiTheme="minorHAnsi" w:cstheme="minorHAnsi"/>
          <w:color w:val="222222"/>
          <w:sz w:val="22"/>
          <w:szCs w:val="22"/>
        </w:rPr>
        <w:t>Nicht kommerziell</w:t>
      </w:r>
      <w:r w:rsidRPr="005C1801">
        <w:rPr>
          <w:rFonts w:asciiTheme="minorHAnsi" w:hAnsiTheme="minorHAnsi" w:cstheme="minorHAnsi"/>
          <w:color w:val="333333"/>
          <w:sz w:val="22"/>
          <w:szCs w:val="22"/>
        </w:rPr>
        <w:t> — Sie dürfen das Material nicht für </w:t>
      </w:r>
      <w:hyperlink r:id="rId21" w:history="1">
        <w:r w:rsidRPr="005C1801">
          <w:rPr>
            <w:rStyle w:val="-"/>
            <w:rFonts w:asciiTheme="minorHAnsi" w:hAnsiTheme="minorHAnsi" w:cstheme="minorHAnsi"/>
            <w:color w:val="049CCF"/>
            <w:sz w:val="22"/>
            <w:szCs w:val="22"/>
          </w:rPr>
          <w:t>kommerzielle Zwecke</w:t>
        </w:r>
      </w:hyperlink>
      <w:r w:rsidRPr="005C1801">
        <w:rPr>
          <w:rFonts w:asciiTheme="minorHAnsi" w:hAnsiTheme="minorHAnsi" w:cstheme="minorHAnsi"/>
          <w:color w:val="333333"/>
          <w:sz w:val="22"/>
          <w:szCs w:val="22"/>
        </w:rPr>
        <w:t> nutzen.</w:t>
      </w:r>
    </w:p>
    <w:p w14:paraId="076E5E72" w14:textId="77777777" w:rsidR="00092EC4" w:rsidRPr="005C1801" w:rsidRDefault="00092EC4" w:rsidP="005C1801">
      <w:pPr>
        <w:pStyle w:val="Web"/>
        <w:numPr>
          <w:ilvl w:val="0"/>
          <w:numId w:val="6"/>
        </w:numPr>
        <w:tabs>
          <w:tab w:val="clear" w:pos="720"/>
          <w:tab w:val="num" w:pos="851"/>
        </w:tabs>
        <w:spacing w:before="0" w:beforeAutospacing="0" w:after="0" w:afterAutospacing="0"/>
        <w:ind w:left="851" w:right="240" w:hanging="624"/>
        <w:rPr>
          <w:rFonts w:asciiTheme="minorHAnsi" w:hAnsiTheme="minorHAnsi" w:cstheme="minorHAnsi"/>
          <w:color w:val="333333"/>
          <w:sz w:val="22"/>
          <w:szCs w:val="22"/>
        </w:rPr>
      </w:pPr>
      <w:r w:rsidRPr="005C1801">
        <w:rPr>
          <w:rStyle w:val="af0"/>
          <w:rFonts w:asciiTheme="minorHAnsi" w:hAnsiTheme="minorHAnsi" w:cstheme="minorHAnsi"/>
          <w:color w:val="222222"/>
          <w:sz w:val="22"/>
          <w:szCs w:val="22"/>
        </w:rPr>
        <w:t>Weitergabe unter gleichen Bedingungen</w:t>
      </w:r>
      <w:r w:rsidRPr="005C1801">
        <w:rPr>
          <w:rFonts w:asciiTheme="minorHAnsi" w:hAnsiTheme="minorHAnsi" w:cstheme="minorHAnsi"/>
          <w:color w:val="333333"/>
          <w:sz w:val="22"/>
          <w:szCs w:val="22"/>
        </w:rPr>
        <w:t> — Wenn Sie das Material remixen, verändern oder anderweitig direkt darauf aufbauen, dürfen Sie Ihre Beiträge nur unter </w:t>
      </w:r>
      <w:hyperlink r:id="rId22" w:history="1">
        <w:r w:rsidRPr="005C1801">
          <w:rPr>
            <w:rStyle w:val="-"/>
            <w:rFonts w:asciiTheme="minorHAnsi" w:hAnsiTheme="minorHAnsi" w:cstheme="minorHAnsi"/>
            <w:color w:val="049CCF"/>
            <w:sz w:val="22"/>
            <w:szCs w:val="22"/>
          </w:rPr>
          <w:t>derselben Lizenz</w:t>
        </w:r>
      </w:hyperlink>
      <w:r w:rsidRPr="005C1801">
        <w:rPr>
          <w:rFonts w:asciiTheme="minorHAnsi" w:hAnsiTheme="minorHAnsi" w:cstheme="minorHAnsi"/>
          <w:color w:val="333333"/>
          <w:sz w:val="22"/>
          <w:szCs w:val="22"/>
        </w:rPr>
        <w:t> wie das Original verbreiten.</w:t>
      </w:r>
    </w:p>
    <w:p w14:paraId="3029DEC8" w14:textId="77777777" w:rsidR="00092EC4" w:rsidRPr="005C1801" w:rsidRDefault="00092EC4" w:rsidP="005C1801">
      <w:pPr>
        <w:numPr>
          <w:ilvl w:val="0"/>
          <w:numId w:val="7"/>
        </w:numPr>
        <w:tabs>
          <w:tab w:val="clear" w:pos="720"/>
        </w:tabs>
        <w:spacing w:before="100" w:beforeAutospacing="1" w:after="225" w:line="240" w:lineRule="auto"/>
        <w:ind w:left="851" w:right="240" w:hanging="567"/>
        <w:jc w:val="left"/>
        <w:rPr>
          <w:rFonts w:asciiTheme="minorHAnsi" w:hAnsiTheme="minorHAnsi" w:cstheme="minorHAnsi"/>
          <w:color w:val="333333"/>
          <w:lang w:val="de-DE"/>
        </w:rPr>
      </w:pPr>
      <w:r w:rsidRPr="005C1801">
        <w:rPr>
          <w:rStyle w:val="af0"/>
          <w:rFonts w:asciiTheme="minorHAnsi" w:hAnsiTheme="minorHAnsi" w:cstheme="minorHAnsi"/>
          <w:color w:val="222222"/>
          <w:lang w:val="de-DE"/>
        </w:rPr>
        <w:t>Keine weiteren Einschränkungen</w:t>
      </w:r>
      <w:r w:rsidRPr="005C1801">
        <w:rPr>
          <w:rFonts w:asciiTheme="minorHAnsi" w:hAnsiTheme="minorHAnsi" w:cstheme="minorHAnsi"/>
          <w:color w:val="333333"/>
          <w:lang w:val="de-DE"/>
        </w:rPr>
        <w:t> — Sie dürfen keine zusätzlichen Klauseln oder </w:t>
      </w:r>
      <w:hyperlink r:id="rId23" w:history="1">
        <w:r w:rsidRPr="005C1801">
          <w:rPr>
            <w:rStyle w:val="-"/>
            <w:rFonts w:asciiTheme="minorHAnsi" w:hAnsiTheme="minorHAnsi" w:cstheme="minorHAnsi"/>
            <w:color w:val="049CCF"/>
            <w:lang w:val="de-DE"/>
          </w:rPr>
          <w:t>technische Verfahren</w:t>
        </w:r>
      </w:hyperlink>
      <w:r w:rsidRPr="005C1801">
        <w:rPr>
          <w:rFonts w:asciiTheme="minorHAnsi" w:hAnsiTheme="minorHAnsi" w:cstheme="minorHAnsi"/>
          <w:color w:val="333333"/>
          <w:lang w:val="de-DE"/>
        </w:rPr>
        <w:t> einsetzen, die anderen rechtlich irgendetwas untersagen, was die Lizenz erlaubt.</w:t>
      </w:r>
    </w:p>
    <w:p w14:paraId="7FF2184F" w14:textId="77777777" w:rsidR="00B83B04" w:rsidRPr="005C1801" w:rsidRDefault="00B83B04" w:rsidP="00092EC4">
      <w:pPr>
        <w:rPr>
          <w:rFonts w:asciiTheme="minorHAnsi" w:hAnsiTheme="minorHAnsi" w:cstheme="minorHAnsi"/>
          <w:lang w:val="de-DE"/>
        </w:rPr>
      </w:pPr>
    </w:p>
    <w:p w14:paraId="059B8AEF" w14:textId="77777777" w:rsidR="00B83B04" w:rsidRPr="005C1801" w:rsidRDefault="00B83B04">
      <w:pPr>
        <w:spacing w:line="240" w:lineRule="auto"/>
        <w:rPr>
          <w:rFonts w:asciiTheme="minorHAnsi" w:hAnsiTheme="minorHAnsi" w:cstheme="minorHAnsi"/>
          <w:lang w:val="de-DE"/>
        </w:rPr>
      </w:pPr>
    </w:p>
    <w:p w14:paraId="3B2DAC98" w14:textId="77777777" w:rsidR="00B83B04" w:rsidRPr="00092EC4" w:rsidRDefault="00B83B04">
      <w:pPr>
        <w:jc w:val="center"/>
        <w:rPr>
          <w:sz w:val="24"/>
          <w:szCs w:val="24"/>
          <w:lang w:val="de-DE"/>
        </w:rPr>
      </w:pPr>
    </w:p>
    <w:p w14:paraId="62431EC8" w14:textId="77777777" w:rsidR="00B83B04" w:rsidRPr="00092EC4" w:rsidRDefault="00B83B04">
      <w:pPr>
        <w:jc w:val="center"/>
        <w:rPr>
          <w:i/>
          <w:sz w:val="24"/>
          <w:szCs w:val="24"/>
          <w:lang w:val="de-DE"/>
        </w:rPr>
      </w:pPr>
    </w:p>
    <w:p w14:paraId="4400B726" w14:textId="77777777" w:rsidR="00B83B04" w:rsidRPr="00092EC4" w:rsidRDefault="00B83B04">
      <w:pPr>
        <w:rPr>
          <w:sz w:val="24"/>
          <w:szCs w:val="24"/>
          <w:lang w:val="de-DE"/>
        </w:rPr>
      </w:pPr>
    </w:p>
    <w:p w14:paraId="6A7EF422" w14:textId="77777777" w:rsidR="00B83B04" w:rsidRPr="00092EC4" w:rsidRDefault="00B83B04">
      <w:pPr>
        <w:rPr>
          <w:sz w:val="24"/>
          <w:szCs w:val="24"/>
          <w:lang w:val="de-DE"/>
        </w:rPr>
      </w:pPr>
    </w:p>
    <w:p w14:paraId="2368B98F" w14:textId="77777777" w:rsidR="00B83B04" w:rsidRPr="00092EC4" w:rsidRDefault="00B83B04">
      <w:pPr>
        <w:rPr>
          <w:sz w:val="24"/>
          <w:szCs w:val="24"/>
          <w:lang w:val="de-DE"/>
        </w:rPr>
      </w:pPr>
    </w:p>
    <w:p w14:paraId="03A36A6F" w14:textId="196EEAC6" w:rsidR="00B83B04" w:rsidRDefault="00524CF6">
      <w:pPr>
        <w:keepNext/>
        <w:keepLines/>
        <w:pBdr>
          <w:top w:val="nil"/>
          <w:left w:val="nil"/>
          <w:bottom w:val="nil"/>
          <w:right w:val="nil"/>
          <w:between w:val="nil"/>
        </w:pBdr>
        <w:spacing w:before="240" w:after="0" w:line="259" w:lineRule="auto"/>
        <w:jc w:val="left"/>
        <w:rPr>
          <w:b/>
          <w:color w:val="000000"/>
          <w:sz w:val="24"/>
          <w:szCs w:val="24"/>
        </w:rPr>
      </w:pPr>
      <w:r>
        <w:rPr>
          <w:b/>
          <w:color w:val="000000"/>
          <w:sz w:val="24"/>
          <w:szCs w:val="24"/>
        </w:rPr>
        <w:t>Inhalt</w:t>
      </w:r>
    </w:p>
    <w:p w14:paraId="537870A3" w14:textId="77777777" w:rsidR="005C1801" w:rsidRDefault="005C1801">
      <w:pPr>
        <w:keepNext/>
        <w:keepLines/>
        <w:pBdr>
          <w:top w:val="nil"/>
          <w:left w:val="nil"/>
          <w:bottom w:val="nil"/>
          <w:right w:val="nil"/>
          <w:between w:val="nil"/>
        </w:pBdr>
        <w:spacing w:before="240" w:after="0" w:line="259" w:lineRule="auto"/>
        <w:jc w:val="left"/>
        <w:rPr>
          <w:b/>
          <w:color w:val="000000"/>
          <w:sz w:val="24"/>
          <w:szCs w:val="24"/>
        </w:rPr>
      </w:pPr>
    </w:p>
    <w:sdt>
      <w:sdtPr>
        <w:id w:val="1548648107"/>
        <w:docPartObj>
          <w:docPartGallery w:val="Table of Contents"/>
          <w:docPartUnique/>
        </w:docPartObj>
      </w:sdtPr>
      <w:sdtContent>
        <w:p w14:paraId="4468199B" w14:textId="6AA86141" w:rsidR="00524CF6" w:rsidRDefault="00BC77F7">
          <w:pPr>
            <w:pStyle w:val="20"/>
            <w:tabs>
              <w:tab w:val="right" w:pos="9062"/>
            </w:tabs>
            <w:rPr>
              <w:rFonts w:asciiTheme="minorHAnsi" w:eastAsiaTheme="minorEastAsia" w:hAnsiTheme="minorHAnsi" w:cstheme="minorBidi"/>
              <w:noProof/>
              <w:sz w:val="24"/>
              <w:szCs w:val="24"/>
              <w:lang w:eastAsia="en-GB"/>
            </w:rPr>
          </w:pPr>
          <w:r>
            <w:fldChar w:fldCharType="begin"/>
          </w:r>
          <w:r>
            <w:instrText xml:space="preserve"> TOC \h \u \z </w:instrText>
          </w:r>
          <w:r>
            <w:fldChar w:fldCharType="separate"/>
          </w:r>
          <w:hyperlink w:anchor="_Toc104125400" w:history="1">
            <w:r w:rsidR="00524CF6" w:rsidRPr="00EA3CD7">
              <w:rPr>
                <w:rStyle w:val="-"/>
                <w:noProof/>
              </w:rPr>
              <w:t>2.0 Einführung</w:t>
            </w:r>
            <w:r w:rsidR="00524CF6">
              <w:rPr>
                <w:noProof/>
                <w:webHidden/>
              </w:rPr>
              <w:tab/>
            </w:r>
            <w:r w:rsidR="00524CF6">
              <w:rPr>
                <w:noProof/>
                <w:webHidden/>
              </w:rPr>
              <w:fldChar w:fldCharType="begin"/>
            </w:r>
            <w:r w:rsidR="00524CF6">
              <w:rPr>
                <w:noProof/>
                <w:webHidden/>
              </w:rPr>
              <w:instrText xml:space="preserve"> PAGEREF _Toc104125400 \h </w:instrText>
            </w:r>
            <w:r w:rsidR="00524CF6">
              <w:rPr>
                <w:noProof/>
                <w:webHidden/>
              </w:rPr>
            </w:r>
            <w:r w:rsidR="00524CF6">
              <w:rPr>
                <w:noProof/>
                <w:webHidden/>
              </w:rPr>
              <w:fldChar w:fldCharType="separate"/>
            </w:r>
            <w:r w:rsidR="0037471E">
              <w:rPr>
                <w:noProof/>
                <w:webHidden/>
              </w:rPr>
              <w:t>5</w:t>
            </w:r>
            <w:r w:rsidR="00524CF6">
              <w:rPr>
                <w:noProof/>
                <w:webHidden/>
              </w:rPr>
              <w:fldChar w:fldCharType="end"/>
            </w:r>
          </w:hyperlink>
        </w:p>
        <w:p w14:paraId="68AB264C" w14:textId="5C96ED90" w:rsidR="00524CF6" w:rsidRDefault="00000000">
          <w:pPr>
            <w:pStyle w:val="20"/>
            <w:tabs>
              <w:tab w:val="right" w:pos="9062"/>
            </w:tabs>
            <w:rPr>
              <w:rFonts w:asciiTheme="minorHAnsi" w:eastAsiaTheme="minorEastAsia" w:hAnsiTheme="minorHAnsi" w:cstheme="minorBidi"/>
              <w:noProof/>
              <w:sz w:val="24"/>
              <w:szCs w:val="24"/>
              <w:lang w:eastAsia="en-GB"/>
            </w:rPr>
          </w:pPr>
          <w:hyperlink w:anchor="_Toc104125401" w:history="1">
            <w:r w:rsidR="00524CF6" w:rsidRPr="00EA3CD7">
              <w:rPr>
                <w:rStyle w:val="-"/>
                <w:noProof/>
              </w:rPr>
              <w:t>2.1 Eröffnung</w:t>
            </w:r>
            <w:r w:rsidR="00524CF6">
              <w:rPr>
                <w:noProof/>
                <w:webHidden/>
              </w:rPr>
              <w:tab/>
            </w:r>
            <w:r w:rsidR="00524CF6">
              <w:rPr>
                <w:noProof/>
                <w:webHidden/>
              </w:rPr>
              <w:fldChar w:fldCharType="begin"/>
            </w:r>
            <w:r w:rsidR="00524CF6">
              <w:rPr>
                <w:noProof/>
                <w:webHidden/>
              </w:rPr>
              <w:instrText xml:space="preserve"> PAGEREF _Toc104125401 \h </w:instrText>
            </w:r>
            <w:r w:rsidR="00524CF6">
              <w:rPr>
                <w:noProof/>
                <w:webHidden/>
              </w:rPr>
            </w:r>
            <w:r w:rsidR="00524CF6">
              <w:rPr>
                <w:noProof/>
                <w:webHidden/>
              </w:rPr>
              <w:fldChar w:fldCharType="separate"/>
            </w:r>
            <w:r w:rsidR="0037471E">
              <w:rPr>
                <w:noProof/>
                <w:webHidden/>
              </w:rPr>
              <w:t>6</w:t>
            </w:r>
            <w:r w:rsidR="00524CF6">
              <w:rPr>
                <w:noProof/>
                <w:webHidden/>
              </w:rPr>
              <w:fldChar w:fldCharType="end"/>
            </w:r>
          </w:hyperlink>
        </w:p>
        <w:p w14:paraId="08E92D65" w14:textId="04B81C79" w:rsidR="00524CF6" w:rsidRDefault="00000000">
          <w:pPr>
            <w:pStyle w:val="20"/>
            <w:tabs>
              <w:tab w:val="right" w:pos="9062"/>
            </w:tabs>
            <w:rPr>
              <w:rFonts w:asciiTheme="minorHAnsi" w:eastAsiaTheme="minorEastAsia" w:hAnsiTheme="minorHAnsi" w:cstheme="minorBidi"/>
              <w:noProof/>
              <w:sz w:val="24"/>
              <w:szCs w:val="24"/>
              <w:lang w:eastAsia="en-GB"/>
            </w:rPr>
          </w:pPr>
          <w:hyperlink w:anchor="_Toc104125402" w:history="1">
            <w:r w:rsidR="00524CF6" w:rsidRPr="00EA3CD7">
              <w:rPr>
                <w:rStyle w:val="-"/>
                <w:noProof/>
                <w:lang w:val="de-DE"/>
              </w:rPr>
              <w:t>2.2 Risikofaktoren für Gesundheitsprobleme in den verschiedenen Migrationsphasen</w:t>
            </w:r>
            <w:r w:rsidR="00524CF6">
              <w:rPr>
                <w:noProof/>
                <w:webHidden/>
              </w:rPr>
              <w:tab/>
            </w:r>
            <w:r w:rsidR="00524CF6">
              <w:rPr>
                <w:noProof/>
                <w:webHidden/>
              </w:rPr>
              <w:fldChar w:fldCharType="begin"/>
            </w:r>
            <w:r w:rsidR="00524CF6">
              <w:rPr>
                <w:noProof/>
                <w:webHidden/>
              </w:rPr>
              <w:instrText xml:space="preserve"> PAGEREF _Toc104125402 \h </w:instrText>
            </w:r>
            <w:r w:rsidR="00524CF6">
              <w:rPr>
                <w:noProof/>
                <w:webHidden/>
              </w:rPr>
            </w:r>
            <w:r w:rsidR="00524CF6">
              <w:rPr>
                <w:noProof/>
                <w:webHidden/>
              </w:rPr>
              <w:fldChar w:fldCharType="separate"/>
            </w:r>
            <w:r w:rsidR="0037471E">
              <w:rPr>
                <w:noProof/>
                <w:webHidden/>
              </w:rPr>
              <w:t>7</w:t>
            </w:r>
            <w:r w:rsidR="00524CF6">
              <w:rPr>
                <w:noProof/>
                <w:webHidden/>
              </w:rPr>
              <w:fldChar w:fldCharType="end"/>
            </w:r>
          </w:hyperlink>
        </w:p>
        <w:p w14:paraId="747F31DD" w14:textId="1008DB67" w:rsidR="00524CF6" w:rsidRDefault="00000000">
          <w:pPr>
            <w:pStyle w:val="20"/>
            <w:tabs>
              <w:tab w:val="right" w:pos="9062"/>
            </w:tabs>
            <w:rPr>
              <w:rFonts w:asciiTheme="minorHAnsi" w:eastAsiaTheme="minorEastAsia" w:hAnsiTheme="minorHAnsi" w:cstheme="minorBidi"/>
              <w:noProof/>
              <w:sz w:val="24"/>
              <w:szCs w:val="24"/>
              <w:lang w:eastAsia="en-GB"/>
            </w:rPr>
          </w:pPr>
          <w:hyperlink w:anchor="_Toc104125403" w:history="1">
            <w:r w:rsidR="00524CF6" w:rsidRPr="00EA3CD7">
              <w:rPr>
                <w:rStyle w:val="-"/>
                <w:noProof/>
                <w:lang w:val="de-DE"/>
              </w:rPr>
              <w:t>2.3 Erforschung der physischen und psychischen Gesundheit von Migrant*innen</w:t>
            </w:r>
            <w:r w:rsidR="00524CF6">
              <w:rPr>
                <w:noProof/>
                <w:webHidden/>
              </w:rPr>
              <w:tab/>
            </w:r>
            <w:r w:rsidR="00524CF6">
              <w:rPr>
                <w:noProof/>
                <w:webHidden/>
              </w:rPr>
              <w:fldChar w:fldCharType="begin"/>
            </w:r>
            <w:r w:rsidR="00524CF6">
              <w:rPr>
                <w:noProof/>
                <w:webHidden/>
              </w:rPr>
              <w:instrText xml:space="preserve"> PAGEREF _Toc104125403 \h </w:instrText>
            </w:r>
            <w:r w:rsidR="00524CF6">
              <w:rPr>
                <w:noProof/>
                <w:webHidden/>
              </w:rPr>
            </w:r>
            <w:r w:rsidR="00524CF6">
              <w:rPr>
                <w:noProof/>
                <w:webHidden/>
              </w:rPr>
              <w:fldChar w:fldCharType="separate"/>
            </w:r>
            <w:r w:rsidR="0037471E">
              <w:rPr>
                <w:noProof/>
                <w:webHidden/>
              </w:rPr>
              <w:t>8</w:t>
            </w:r>
            <w:r w:rsidR="00524CF6">
              <w:rPr>
                <w:noProof/>
                <w:webHidden/>
              </w:rPr>
              <w:fldChar w:fldCharType="end"/>
            </w:r>
          </w:hyperlink>
        </w:p>
        <w:p w14:paraId="4EA8D1A3" w14:textId="275E4CA2" w:rsidR="00524CF6" w:rsidRDefault="00000000">
          <w:pPr>
            <w:pStyle w:val="20"/>
            <w:tabs>
              <w:tab w:val="right" w:pos="9062"/>
            </w:tabs>
            <w:rPr>
              <w:rFonts w:asciiTheme="minorHAnsi" w:eastAsiaTheme="minorEastAsia" w:hAnsiTheme="minorHAnsi" w:cstheme="minorBidi"/>
              <w:noProof/>
              <w:sz w:val="24"/>
              <w:szCs w:val="24"/>
              <w:lang w:eastAsia="en-GB"/>
            </w:rPr>
          </w:pPr>
          <w:hyperlink w:anchor="_Toc104125404" w:history="1">
            <w:r w:rsidR="00524CF6" w:rsidRPr="00EA3CD7">
              <w:rPr>
                <w:rStyle w:val="-"/>
                <w:noProof/>
              </w:rPr>
              <w:t>2.4. Präventionsstrategien</w:t>
            </w:r>
            <w:r w:rsidR="00524CF6">
              <w:rPr>
                <w:noProof/>
                <w:webHidden/>
              </w:rPr>
              <w:tab/>
            </w:r>
            <w:r w:rsidR="00524CF6">
              <w:rPr>
                <w:noProof/>
                <w:webHidden/>
              </w:rPr>
              <w:fldChar w:fldCharType="begin"/>
            </w:r>
            <w:r w:rsidR="00524CF6">
              <w:rPr>
                <w:noProof/>
                <w:webHidden/>
              </w:rPr>
              <w:instrText xml:space="preserve"> PAGEREF _Toc104125404 \h </w:instrText>
            </w:r>
            <w:r w:rsidR="00524CF6">
              <w:rPr>
                <w:noProof/>
                <w:webHidden/>
              </w:rPr>
            </w:r>
            <w:r w:rsidR="00524CF6">
              <w:rPr>
                <w:noProof/>
                <w:webHidden/>
              </w:rPr>
              <w:fldChar w:fldCharType="separate"/>
            </w:r>
            <w:r w:rsidR="0037471E">
              <w:rPr>
                <w:noProof/>
                <w:webHidden/>
              </w:rPr>
              <w:t>10</w:t>
            </w:r>
            <w:r w:rsidR="00524CF6">
              <w:rPr>
                <w:noProof/>
                <w:webHidden/>
              </w:rPr>
              <w:fldChar w:fldCharType="end"/>
            </w:r>
          </w:hyperlink>
        </w:p>
        <w:p w14:paraId="3D7F38DA" w14:textId="31877225" w:rsidR="00524CF6" w:rsidRDefault="00000000">
          <w:pPr>
            <w:pStyle w:val="20"/>
            <w:tabs>
              <w:tab w:val="right" w:pos="9062"/>
            </w:tabs>
            <w:rPr>
              <w:rFonts w:asciiTheme="minorHAnsi" w:eastAsiaTheme="minorEastAsia" w:hAnsiTheme="minorHAnsi" w:cstheme="minorBidi"/>
              <w:noProof/>
              <w:sz w:val="24"/>
              <w:szCs w:val="24"/>
              <w:lang w:eastAsia="en-GB"/>
            </w:rPr>
          </w:pPr>
          <w:hyperlink w:anchor="_Toc104125405" w:history="1">
            <w:r w:rsidR="00524CF6" w:rsidRPr="00EA3CD7">
              <w:rPr>
                <w:rStyle w:val="-"/>
                <w:noProof/>
              </w:rPr>
              <w:t>2.5 Referenzen</w:t>
            </w:r>
            <w:r w:rsidR="00524CF6">
              <w:rPr>
                <w:noProof/>
                <w:webHidden/>
              </w:rPr>
              <w:tab/>
            </w:r>
            <w:r w:rsidR="00524CF6">
              <w:rPr>
                <w:noProof/>
                <w:webHidden/>
              </w:rPr>
              <w:fldChar w:fldCharType="begin"/>
            </w:r>
            <w:r w:rsidR="00524CF6">
              <w:rPr>
                <w:noProof/>
                <w:webHidden/>
              </w:rPr>
              <w:instrText xml:space="preserve"> PAGEREF _Toc104125405 \h </w:instrText>
            </w:r>
            <w:r w:rsidR="00524CF6">
              <w:rPr>
                <w:noProof/>
                <w:webHidden/>
              </w:rPr>
            </w:r>
            <w:r w:rsidR="00524CF6">
              <w:rPr>
                <w:noProof/>
                <w:webHidden/>
              </w:rPr>
              <w:fldChar w:fldCharType="separate"/>
            </w:r>
            <w:r w:rsidR="0037471E">
              <w:rPr>
                <w:noProof/>
                <w:webHidden/>
              </w:rPr>
              <w:t>11</w:t>
            </w:r>
            <w:r w:rsidR="00524CF6">
              <w:rPr>
                <w:noProof/>
                <w:webHidden/>
              </w:rPr>
              <w:fldChar w:fldCharType="end"/>
            </w:r>
          </w:hyperlink>
        </w:p>
        <w:p w14:paraId="02DE21B1" w14:textId="54B4C67B" w:rsidR="00B83B04" w:rsidRDefault="00BC77F7">
          <w:r>
            <w:fldChar w:fldCharType="end"/>
          </w:r>
        </w:p>
      </w:sdtContent>
    </w:sdt>
    <w:p w14:paraId="1EBF2CE3" w14:textId="77777777" w:rsidR="00B83B04" w:rsidRDefault="00BC77F7">
      <w:pPr>
        <w:rPr>
          <w:sz w:val="24"/>
          <w:szCs w:val="24"/>
        </w:rPr>
      </w:pPr>
      <w:r>
        <w:br w:type="page"/>
      </w:r>
    </w:p>
    <w:p w14:paraId="4E860C68" w14:textId="77777777" w:rsidR="005C1801" w:rsidRDefault="005C1801">
      <w:pPr>
        <w:pStyle w:val="2"/>
        <w:rPr>
          <w:lang w:val="de-DE"/>
        </w:rPr>
      </w:pPr>
      <w:bookmarkStart w:id="1" w:name="_Toc104125400"/>
    </w:p>
    <w:p w14:paraId="2729D30A" w14:textId="744BACC9" w:rsidR="00B83B04" w:rsidRPr="003A19E1" w:rsidRDefault="00BC77F7">
      <w:pPr>
        <w:pStyle w:val="2"/>
        <w:rPr>
          <w:lang w:val="de-DE"/>
        </w:rPr>
      </w:pPr>
      <w:r w:rsidRPr="003A19E1">
        <w:rPr>
          <w:lang w:val="de-DE"/>
        </w:rPr>
        <w:t xml:space="preserve">2.0 </w:t>
      </w:r>
      <w:r w:rsidR="0050726F" w:rsidRPr="003A19E1">
        <w:rPr>
          <w:lang w:val="de-DE"/>
        </w:rPr>
        <w:t>Einführung</w:t>
      </w:r>
      <w:bookmarkEnd w:id="1"/>
    </w:p>
    <w:p w14:paraId="690673B4" w14:textId="46A8C07C" w:rsidR="0050726F" w:rsidRPr="005C1801" w:rsidRDefault="0050726F" w:rsidP="0050726F">
      <w:pPr>
        <w:pBdr>
          <w:top w:val="nil"/>
          <w:left w:val="nil"/>
          <w:bottom w:val="nil"/>
          <w:right w:val="nil"/>
          <w:between w:val="nil"/>
        </w:pBdr>
        <w:spacing w:after="0"/>
        <w:rPr>
          <w:lang w:val="de-DE"/>
        </w:rPr>
      </w:pPr>
      <w:r w:rsidRPr="005C1801">
        <w:rPr>
          <w:lang w:val="de-DE"/>
        </w:rPr>
        <w:t>Das folgende Handbuch gehört zum intellektuellen Output 2 im Projekt MIG-DHL. Dieses Handbuch umfasst alle sechs Module:</w:t>
      </w:r>
    </w:p>
    <w:p w14:paraId="52ED3E52" w14:textId="77777777" w:rsidR="0050726F" w:rsidRPr="005C1801" w:rsidRDefault="0050726F" w:rsidP="0050726F">
      <w:pPr>
        <w:pBdr>
          <w:top w:val="nil"/>
          <w:left w:val="nil"/>
          <w:bottom w:val="nil"/>
          <w:right w:val="nil"/>
          <w:between w:val="nil"/>
        </w:pBdr>
        <w:spacing w:after="0"/>
        <w:rPr>
          <w:color w:val="000000"/>
          <w:lang w:val="de-DE"/>
        </w:rPr>
      </w:pPr>
    </w:p>
    <w:p w14:paraId="47E43ACC" w14:textId="77777777" w:rsidR="0050726F" w:rsidRPr="005C1801" w:rsidRDefault="0050726F" w:rsidP="0050726F">
      <w:pPr>
        <w:pStyle w:val="a6"/>
        <w:numPr>
          <w:ilvl w:val="0"/>
          <w:numId w:val="3"/>
        </w:numPr>
        <w:rPr>
          <w:color w:val="000000"/>
          <w:lang w:val="de-DE"/>
        </w:rPr>
      </w:pPr>
      <w:r w:rsidRPr="005C1801">
        <w:rPr>
          <w:color w:val="000000"/>
          <w:lang w:val="de-DE"/>
        </w:rPr>
        <w:t>Was ist digitale Gesundheitskompetenz und ihre Bedeutung?</w:t>
      </w:r>
    </w:p>
    <w:p w14:paraId="19B0927B" w14:textId="446FB554" w:rsidR="0050726F" w:rsidRPr="005C1801" w:rsidRDefault="0050726F" w:rsidP="0050726F">
      <w:pPr>
        <w:pStyle w:val="a6"/>
        <w:numPr>
          <w:ilvl w:val="0"/>
          <w:numId w:val="3"/>
        </w:numPr>
        <w:rPr>
          <w:color w:val="000000"/>
          <w:lang w:val="de-DE"/>
        </w:rPr>
      </w:pPr>
      <w:r w:rsidRPr="005C1801">
        <w:rPr>
          <w:color w:val="000000"/>
          <w:lang w:val="de-DE"/>
        </w:rPr>
        <w:t>Die wichtigsten Gesundheitsfragen bei der Ankunft in einem neuen Land</w:t>
      </w:r>
    </w:p>
    <w:p w14:paraId="25F04184" w14:textId="7523A924" w:rsidR="0050726F" w:rsidRPr="005C1801" w:rsidRDefault="0050726F" w:rsidP="0050726F">
      <w:pPr>
        <w:pStyle w:val="a6"/>
        <w:numPr>
          <w:ilvl w:val="0"/>
          <w:numId w:val="3"/>
        </w:numPr>
        <w:rPr>
          <w:color w:val="000000"/>
        </w:rPr>
      </w:pPr>
      <w:r w:rsidRPr="005C1801">
        <w:rPr>
          <w:color w:val="000000"/>
        </w:rPr>
        <w:t>Gesundheitsdienste</w:t>
      </w:r>
    </w:p>
    <w:p w14:paraId="0D0E2DB6" w14:textId="5586980F" w:rsidR="0050726F" w:rsidRPr="005C1801" w:rsidRDefault="0050726F" w:rsidP="0050726F">
      <w:pPr>
        <w:pStyle w:val="a6"/>
        <w:numPr>
          <w:ilvl w:val="0"/>
          <w:numId w:val="3"/>
        </w:numPr>
        <w:rPr>
          <w:color w:val="000000"/>
        </w:rPr>
      </w:pPr>
      <w:r w:rsidRPr="005C1801">
        <w:rPr>
          <w:color w:val="000000"/>
        </w:rPr>
        <w:t>Digitale Kompetenz erlangen</w:t>
      </w:r>
    </w:p>
    <w:p w14:paraId="73FC60E7" w14:textId="709689BF" w:rsidR="0050726F" w:rsidRPr="005C1801" w:rsidRDefault="0050726F" w:rsidP="0050726F">
      <w:pPr>
        <w:pStyle w:val="a6"/>
        <w:numPr>
          <w:ilvl w:val="0"/>
          <w:numId w:val="3"/>
        </w:numPr>
        <w:rPr>
          <w:color w:val="000000"/>
        </w:rPr>
      </w:pPr>
      <w:r w:rsidRPr="005C1801">
        <w:rPr>
          <w:color w:val="000000"/>
        </w:rPr>
        <w:t>Erkundung digitaler Gesundheitswerkzeuge</w:t>
      </w:r>
    </w:p>
    <w:p w14:paraId="63DC4F2B" w14:textId="7E7AC371" w:rsidR="0050726F" w:rsidRPr="005C1801" w:rsidRDefault="0050726F" w:rsidP="0050726F">
      <w:pPr>
        <w:pStyle w:val="a6"/>
        <w:numPr>
          <w:ilvl w:val="0"/>
          <w:numId w:val="3"/>
        </w:numPr>
        <w:rPr>
          <w:color w:val="000000"/>
          <w:lang w:val="de-DE"/>
        </w:rPr>
      </w:pPr>
      <w:r w:rsidRPr="005C1801">
        <w:rPr>
          <w:color w:val="000000"/>
          <w:lang w:val="de-DE"/>
        </w:rPr>
        <w:t>Aktiv sein im digitalen Umfeld</w:t>
      </w:r>
    </w:p>
    <w:p w14:paraId="61D70D72" w14:textId="00FC340C" w:rsidR="0050726F" w:rsidRPr="005C1801" w:rsidRDefault="0050726F" w:rsidP="0050726F">
      <w:pPr>
        <w:pBdr>
          <w:top w:val="nil"/>
          <w:left w:val="nil"/>
          <w:bottom w:val="nil"/>
          <w:right w:val="nil"/>
          <w:between w:val="nil"/>
        </w:pBdr>
        <w:spacing w:after="0"/>
        <w:rPr>
          <w:lang w:val="de-DE"/>
        </w:rPr>
      </w:pPr>
      <w:r w:rsidRPr="005C1801">
        <w:rPr>
          <w:lang w:val="de-DE"/>
        </w:rPr>
        <w:t>Das Handbuch selbst richtet sich speziell an Ausbilder*innen und Unterstützer*innen (Sozialarbeiter*innen, Gesundheitsfachkräfte usw.). Es soll vertieftes Wissen über die in den Schulungen besprochenen Themen vermitteln, so dass der Inhalt des Schulungsmaterials für Ausbilder*innen klarer wird. Außerdem werden Ausbilder*innen darauf vorbereitet, Fragen zu beantworten, die detaillierter sind als die in den Schulungsunterlagen enthaltenen Informationen. Daher bietet dieses Handbuch ein vertieftes Wissen und Links zu zusätzlichen Ressourcen in Bezug auf den Inhalt - in erster Linie für  Trainer</w:t>
      </w:r>
      <w:r w:rsidR="00C56FE9" w:rsidRPr="005C1801">
        <w:rPr>
          <w:lang w:val="de-DE"/>
        </w:rPr>
        <w:t>*innen</w:t>
      </w:r>
      <w:r w:rsidRPr="005C1801">
        <w:rPr>
          <w:lang w:val="de-DE"/>
        </w:rPr>
        <w:t>, aber natürlich auch für andere Personen, die mehr über die Themen erfahren möchten.</w:t>
      </w:r>
    </w:p>
    <w:p w14:paraId="2B7F112A" w14:textId="77777777" w:rsidR="005C1801" w:rsidRPr="005C1801" w:rsidRDefault="005C1801" w:rsidP="0050726F">
      <w:pPr>
        <w:pBdr>
          <w:top w:val="nil"/>
          <w:left w:val="nil"/>
          <w:bottom w:val="nil"/>
          <w:right w:val="nil"/>
          <w:between w:val="nil"/>
        </w:pBdr>
        <w:spacing w:after="0"/>
        <w:rPr>
          <w:lang w:val="de-DE"/>
        </w:rPr>
      </w:pPr>
    </w:p>
    <w:p w14:paraId="16514691" w14:textId="1561088F" w:rsidR="0050726F" w:rsidRPr="005C1801" w:rsidRDefault="0050726F" w:rsidP="0050726F">
      <w:pPr>
        <w:pBdr>
          <w:top w:val="nil"/>
          <w:left w:val="nil"/>
          <w:bottom w:val="nil"/>
          <w:right w:val="nil"/>
          <w:between w:val="nil"/>
        </w:pBdr>
        <w:spacing w:after="0"/>
        <w:rPr>
          <w:lang w:val="de-DE"/>
        </w:rPr>
      </w:pPr>
      <w:r w:rsidRPr="005C1801">
        <w:rPr>
          <w:lang w:val="de-DE"/>
        </w:rPr>
        <w:t xml:space="preserve">Die Struktur des Handbuchs orientiert sich an der Struktur des </w:t>
      </w:r>
      <w:r w:rsidR="00C56FE9" w:rsidRPr="005C1801">
        <w:rPr>
          <w:lang w:val="de-DE"/>
        </w:rPr>
        <w:t>Schulung</w:t>
      </w:r>
      <w:r w:rsidRPr="005C1801">
        <w:rPr>
          <w:lang w:val="de-DE"/>
        </w:rPr>
        <w:t>sprogramms. Jedes Modul hat ein Kapitel von etwa 6-8 Seiten.</w:t>
      </w:r>
    </w:p>
    <w:p w14:paraId="552141EC" w14:textId="77777777" w:rsidR="0050726F" w:rsidRPr="005C1801" w:rsidRDefault="0050726F" w:rsidP="0050726F">
      <w:pPr>
        <w:pBdr>
          <w:top w:val="nil"/>
          <w:left w:val="nil"/>
          <w:bottom w:val="nil"/>
          <w:right w:val="nil"/>
          <w:between w:val="nil"/>
        </w:pBdr>
        <w:spacing w:after="0"/>
        <w:rPr>
          <w:lang w:val="de-DE"/>
        </w:rPr>
      </w:pPr>
    </w:p>
    <w:p w14:paraId="5E80FFB8" w14:textId="292379CD" w:rsidR="00C56FE9" w:rsidRPr="005C1801" w:rsidRDefault="00C56FE9" w:rsidP="0050726F">
      <w:pPr>
        <w:pBdr>
          <w:top w:val="nil"/>
          <w:left w:val="nil"/>
          <w:bottom w:val="nil"/>
          <w:right w:val="nil"/>
          <w:between w:val="nil"/>
        </w:pBdr>
        <w:spacing w:after="0"/>
        <w:rPr>
          <w:lang w:val="de-DE"/>
        </w:rPr>
      </w:pPr>
      <w:r w:rsidRPr="005C1801">
        <w:rPr>
          <w:lang w:val="de-DE"/>
        </w:rPr>
        <w:t xml:space="preserve">Dieser Teil des Handbuchs enthält Informationen zu </w:t>
      </w:r>
      <w:r w:rsidRPr="005C1801">
        <w:rPr>
          <w:b/>
          <w:bCs/>
          <w:lang w:val="de-DE"/>
        </w:rPr>
        <w:t>Modul 2: Die wichtigsten Gesundheitsfragen bei der Ankunft in einem neuen Land.</w:t>
      </w:r>
      <w:r w:rsidRPr="005C1801">
        <w:rPr>
          <w:lang w:val="de-DE"/>
        </w:rPr>
        <w:t xml:space="preserve"> Daher finden Sie hier die notwendigen theoretischen Informationen zur Unterstützung der Inhalte und Aktivitäten von DPTA_2. Modul 2 "Die wichtigsten Gesundheitsprobleme bei der An</w:t>
      </w:r>
      <w:r w:rsidR="005C1801" w:rsidRPr="005C1801">
        <w:rPr>
          <w:lang w:val="de-DE"/>
        </w:rPr>
        <w:t>k</w:t>
      </w:r>
      <w:r w:rsidRPr="005C1801">
        <w:rPr>
          <w:lang w:val="de-DE"/>
        </w:rPr>
        <w:t>unft in einem neuen Land" zielt dar</w:t>
      </w:r>
      <w:r w:rsidR="005C1801" w:rsidRPr="005C1801">
        <w:rPr>
          <w:lang w:val="de-DE"/>
        </w:rPr>
        <w:t xml:space="preserve">auf ab, das Bewusstsein für </w:t>
      </w:r>
      <w:r w:rsidRPr="005C1801">
        <w:rPr>
          <w:lang w:val="de-DE"/>
        </w:rPr>
        <w:t xml:space="preserve">Gesundheitsprobleme zu schärfen, für die Migrant*innen bei ihrer Ankunft in einem neuen Land besonders anfällig sind. Das Schulungsmaterial konzentriert sich auf Faktoren, die die Gesundheit vor, während und nach der Ankunft der Migrant*innen im Gastland beeinflussen. </w:t>
      </w:r>
    </w:p>
    <w:p w14:paraId="28D9C4B7" w14:textId="77777777" w:rsidR="00C56FE9" w:rsidRPr="005C1801" w:rsidRDefault="00C56FE9" w:rsidP="0050726F">
      <w:pPr>
        <w:pBdr>
          <w:top w:val="nil"/>
          <w:left w:val="nil"/>
          <w:bottom w:val="nil"/>
          <w:right w:val="nil"/>
          <w:between w:val="nil"/>
        </w:pBdr>
        <w:spacing w:after="0"/>
        <w:rPr>
          <w:lang w:val="de-DE"/>
        </w:rPr>
      </w:pPr>
    </w:p>
    <w:p w14:paraId="228E7A41" w14:textId="15DF0BF0" w:rsidR="0050726F" w:rsidRPr="005C1801" w:rsidRDefault="0050726F" w:rsidP="0050726F">
      <w:pPr>
        <w:pBdr>
          <w:top w:val="nil"/>
          <w:left w:val="nil"/>
          <w:bottom w:val="nil"/>
          <w:right w:val="nil"/>
          <w:between w:val="nil"/>
        </w:pBdr>
        <w:spacing w:after="0"/>
        <w:rPr>
          <w:lang w:val="de-DE"/>
        </w:rPr>
      </w:pPr>
      <w:r w:rsidRPr="005C1801">
        <w:rPr>
          <w:lang w:val="de-DE"/>
        </w:rPr>
        <w:lastRenderedPageBreak/>
        <w:t>Jede dieser Phasen wirkt sich auf die physische und psychische Gesundheit von Migrant*innen aus, und in einigen Fällen sind sie miteinander verbunden und bedingen sich gegenseitig.</w:t>
      </w:r>
    </w:p>
    <w:p w14:paraId="755A7D1F" w14:textId="77777777" w:rsidR="005C1801" w:rsidRPr="005C1801" w:rsidRDefault="005C1801" w:rsidP="0050726F">
      <w:pPr>
        <w:pBdr>
          <w:top w:val="nil"/>
          <w:left w:val="nil"/>
          <w:bottom w:val="nil"/>
          <w:right w:val="nil"/>
          <w:between w:val="nil"/>
        </w:pBdr>
        <w:spacing w:after="0"/>
        <w:rPr>
          <w:lang w:val="de-DE"/>
        </w:rPr>
      </w:pPr>
    </w:p>
    <w:p w14:paraId="407DEA06" w14:textId="05504BBE" w:rsidR="00B83B04" w:rsidRPr="005C1801" w:rsidRDefault="0050726F" w:rsidP="0050726F">
      <w:pPr>
        <w:pBdr>
          <w:top w:val="nil"/>
          <w:left w:val="nil"/>
          <w:bottom w:val="nil"/>
          <w:right w:val="nil"/>
          <w:between w:val="nil"/>
        </w:pBdr>
        <w:spacing w:after="0"/>
        <w:rPr>
          <w:lang w:val="de-DE"/>
        </w:rPr>
      </w:pPr>
      <w:r w:rsidRPr="005C1801">
        <w:rPr>
          <w:lang w:val="de-DE"/>
        </w:rPr>
        <w:t>Gesundheitsprobleme äußern sich nicht nur in Krankheitssymptomen. Sie haben auch mit der Sprache und den Begriffen sowie dem unterschiedlichen Umgang mit Krankheit zu tun. Hinter den Symptomen und ihrer Beschreibung stehen oft auch kulturspezifische Narrative, so dass Migrant*innen sowie ihre Ärzt</w:t>
      </w:r>
      <w:r w:rsidR="005C1801" w:rsidRPr="005C1801">
        <w:rPr>
          <w:lang w:val="de-DE"/>
        </w:rPr>
        <w:t>*</w:t>
      </w:r>
      <w:r w:rsidRPr="005C1801">
        <w:rPr>
          <w:lang w:val="de-DE"/>
        </w:rPr>
        <w:t>innen auch für diese Art von Ungleichheit sensibilisiert werden sollten. Das Modul beschreibt die häufigsten Krankheiten und die entsprechenden Behandlungen, mit denen Migrant</w:t>
      </w:r>
      <w:r w:rsidR="005C1801" w:rsidRPr="005C1801">
        <w:rPr>
          <w:lang w:val="de-DE"/>
        </w:rPr>
        <w:t>*innen</w:t>
      </w:r>
      <w:r w:rsidRPr="005C1801">
        <w:rPr>
          <w:lang w:val="de-DE"/>
        </w:rPr>
        <w:t xml:space="preserve"> im G</w:t>
      </w:r>
      <w:r w:rsidR="005C1801" w:rsidRPr="005C1801">
        <w:rPr>
          <w:lang w:val="de-DE"/>
        </w:rPr>
        <w:t>astland konfrontiert werden können</w:t>
      </w:r>
      <w:r w:rsidRPr="005C1801">
        <w:rPr>
          <w:lang w:val="de-DE"/>
        </w:rPr>
        <w:t xml:space="preserve"> und wie diese mit digitalen Mitteln angegangen werden können. Ein weiteres Ziel des Moduls ist es, die wichtigsten Verhaltensweisen zu untersuchen, die mit der Gesundheit zusammenhängen und diese beeinflussen. Darüber hinaus zielt das Modul darauf ab, die wichtigsten Präventionsstrategien zu beschreiben, die Migrant</w:t>
      </w:r>
      <w:r w:rsidR="005C1801" w:rsidRPr="005C1801">
        <w:rPr>
          <w:lang w:val="de-DE"/>
        </w:rPr>
        <w:t>*inn</w:t>
      </w:r>
      <w:r w:rsidRPr="005C1801">
        <w:rPr>
          <w:lang w:val="de-DE"/>
        </w:rPr>
        <w:t>en bei ihrer Ankunft im Aufnahmeland kennen sollten.</w:t>
      </w:r>
    </w:p>
    <w:p w14:paraId="47C2CE79" w14:textId="77777777" w:rsidR="0050726F" w:rsidRPr="0050726F" w:rsidRDefault="0050726F" w:rsidP="0050726F">
      <w:pPr>
        <w:pBdr>
          <w:top w:val="nil"/>
          <w:left w:val="nil"/>
          <w:bottom w:val="nil"/>
          <w:right w:val="nil"/>
          <w:between w:val="nil"/>
        </w:pBdr>
        <w:spacing w:after="0"/>
        <w:rPr>
          <w:sz w:val="24"/>
          <w:szCs w:val="24"/>
          <w:lang w:val="de-DE"/>
        </w:rPr>
      </w:pPr>
    </w:p>
    <w:p w14:paraId="3987C983" w14:textId="40CB6D46" w:rsidR="00B83B04" w:rsidRPr="003A19E1" w:rsidRDefault="00BC77F7">
      <w:pPr>
        <w:pStyle w:val="2"/>
        <w:rPr>
          <w:lang w:val="de-DE"/>
        </w:rPr>
      </w:pPr>
      <w:bookmarkStart w:id="2" w:name="_Toc104125401"/>
      <w:r w:rsidRPr="003A19E1">
        <w:rPr>
          <w:lang w:val="de-DE"/>
        </w:rPr>
        <w:t xml:space="preserve">2.1 </w:t>
      </w:r>
      <w:r w:rsidR="0050726F" w:rsidRPr="003A19E1">
        <w:rPr>
          <w:lang w:val="de-DE"/>
        </w:rPr>
        <w:t>Eröffnung</w:t>
      </w:r>
      <w:bookmarkEnd w:id="2"/>
      <w:r w:rsidRPr="003A19E1">
        <w:rPr>
          <w:lang w:val="de-DE"/>
        </w:rPr>
        <w:t xml:space="preserve"> </w:t>
      </w:r>
    </w:p>
    <w:p w14:paraId="294A7E8F" w14:textId="77777777" w:rsidR="00B83B04" w:rsidRPr="003A19E1" w:rsidRDefault="00B83B04">
      <w:pPr>
        <w:rPr>
          <w:lang w:val="de-DE"/>
        </w:rPr>
      </w:pPr>
    </w:p>
    <w:p w14:paraId="29891470" w14:textId="232EEE9F" w:rsidR="00865112" w:rsidRPr="005C1801" w:rsidRDefault="00865112" w:rsidP="00865112">
      <w:pPr>
        <w:rPr>
          <w:lang w:val="de-DE"/>
        </w:rPr>
      </w:pPr>
      <w:r w:rsidRPr="005C1801">
        <w:rPr>
          <w:lang w:val="de-DE"/>
        </w:rPr>
        <w:t xml:space="preserve">Während der Eröffnung sollten Sie als Trainer*in die Ziele der Sitzung, die Dauer, die Organisation und die Aktivitäten erklären. Seien Sie sich bewusst, dass die Lernenden möglicherweise einen sehr unterschiedlichen Bildungshintergrund haben und nicht unbedingt (mehr) an eine Lernumgebung gewöhnt sind. Daher können Sie die Sitzung mit einer Gesprächsrunde eröffnen, in der Sie die Teilnehmer*innen nach ihrem Hintergrund und ihren Interessen fragen. Versuchen Sie, mehr über ihren Bildungsstand herauszufinden, falls dieser vor der Schulung nicht bekannt war. </w:t>
      </w:r>
    </w:p>
    <w:p w14:paraId="4A5B7215" w14:textId="77777777" w:rsidR="00865112" w:rsidRPr="00865112" w:rsidRDefault="00865112" w:rsidP="00865112">
      <w:pPr>
        <w:rPr>
          <w:lang w:val="de-DE"/>
        </w:rPr>
      </w:pPr>
      <w:r w:rsidRPr="00865112">
        <w:rPr>
          <w:lang w:val="de-DE"/>
        </w:rPr>
        <w:t>Für dieses Modul gehen wir davon aus, dass die Lernenden lesen und schreiben können und dass sie über eine Schullaufbahn verfügen, die ihnen grundlegende Fähigkeiten vermittelt hat. Wir gehen außerdem davon aus, dass sie mit der Nutzung mobiler digitaler Geräte vertraut sind.  Fragen Sie Ihre Lerngruppe danach, damit Sie eventuelle Defizite besser einschätzen und das Training entsprechend anpassen können.</w:t>
      </w:r>
    </w:p>
    <w:p w14:paraId="1DDE7F2C" w14:textId="77777777" w:rsidR="00865112" w:rsidRPr="00865112" w:rsidRDefault="00865112" w:rsidP="00524CF6">
      <w:pPr>
        <w:rPr>
          <w:lang w:val="de-DE"/>
        </w:rPr>
      </w:pPr>
      <w:r w:rsidRPr="00865112">
        <w:rPr>
          <w:lang w:val="de-DE"/>
        </w:rPr>
        <w:t>Für die Schulung ist es notwendig, dass die Lernenden Zugang zu einem digitalen Werkzeug haben, z. B. einem Mobiltelefon, einem Tablet oder einem PC.</w:t>
      </w:r>
    </w:p>
    <w:p w14:paraId="7BC17E0B" w14:textId="6C126491" w:rsidR="00865112" w:rsidRPr="00865112" w:rsidRDefault="00865112" w:rsidP="00524CF6">
      <w:pPr>
        <w:rPr>
          <w:lang w:val="de-DE"/>
        </w:rPr>
      </w:pPr>
      <w:r w:rsidRPr="00865112">
        <w:rPr>
          <w:lang w:val="de-DE"/>
        </w:rPr>
        <w:lastRenderedPageBreak/>
        <w:t xml:space="preserve">Erklären Sie klar die Regeln für die Sitzung, z. B. kein </w:t>
      </w:r>
      <w:r w:rsidR="0050726F" w:rsidRPr="005C1801">
        <w:rPr>
          <w:lang w:val="de-DE"/>
        </w:rPr>
        <w:t>WhatsApp</w:t>
      </w:r>
      <w:r w:rsidRPr="005C1801">
        <w:rPr>
          <w:lang w:val="de-DE"/>
        </w:rPr>
        <w:t xml:space="preserve">, </w:t>
      </w:r>
      <w:r w:rsidRPr="00865112">
        <w:rPr>
          <w:lang w:val="de-DE"/>
        </w:rPr>
        <w:t xml:space="preserve">kein Telefonieren oder Chatten. Ermutigen Sie zur aktiven Teilnahme und kümmern Sie sich besonders um diejenigen, die sich nicht aktiv an der Sitzung beteiligen. Dafür kann es verschiedene Gründe geben, z. B. Schüchternheit oder mangelnde Sprachkenntnisse. </w:t>
      </w:r>
    </w:p>
    <w:p w14:paraId="20897DD3" w14:textId="77777777" w:rsidR="00865112" w:rsidRPr="00865112" w:rsidRDefault="00865112" w:rsidP="00524CF6">
      <w:pPr>
        <w:rPr>
          <w:b/>
          <w:lang w:val="de-DE"/>
        </w:rPr>
      </w:pPr>
      <w:r w:rsidRPr="00865112">
        <w:rPr>
          <w:lang w:val="de-DE"/>
        </w:rPr>
        <w:t>Stellen Sie die praktischen Aktivitäten vor und formulieren Sie zu Beginn klar Ihre Erwartungen an die aktive Teilnahme, denn bei diesem Training liegt der Schwerpunkt nicht auf dem Zuhören, sondern auf dem Üben und Lernen durch aktive Beteiligung. Seien Sie sich bewusst, dass Ihre Lernenden mit diesem didaktischen Konzept möglicherweise nicht vertraut sind.</w:t>
      </w:r>
    </w:p>
    <w:p w14:paraId="6070DD31" w14:textId="77777777" w:rsidR="00865112" w:rsidRPr="00865112" w:rsidRDefault="00865112" w:rsidP="00865112">
      <w:pPr>
        <w:pStyle w:val="2"/>
        <w:rPr>
          <w:rFonts w:eastAsia="Calibri" w:cs="Calibri"/>
          <w:b w:val="0"/>
          <w:sz w:val="22"/>
          <w:szCs w:val="22"/>
          <w:lang w:val="de-DE"/>
        </w:rPr>
      </w:pPr>
    </w:p>
    <w:p w14:paraId="06D89905" w14:textId="55ACC791" w:rsidR="00B83B04" w:rsidRPr="00865112" w:rsidRDefault="00BC77F7" w:rsidP="00865112">
      <w:pPr>
        <w:pStyle w:val="2"/>
        <w:rPr>
          <w:lang w:val="de-DE"/>
        </w:rPr>
      </w:pPr>
      <w:bookmarkStart w:id="3" w:name="_Toc104125402"/>
      <w:r w:rsidRPr="00865112">
        <w:rPr>
          <w:lang w:val="de-DE"/>
        </w:rPr>
        <w:t xml:space="preserve">2.2 </w:t>
      </w:r>
      <w:r w:rsidR="00865112" w:rsidRPr="00865112">
        <w:rPr>
          <w:color w:val="222222"/>
          <w:lang w:val="de-DE"/>
        </w:rPr>
        <w:t>Risikofaktoren für Gesundheitsprobleme in den verschiedenen Migrationsphasen</w:t>
      </w:r>
      <w:bookmarkEnd w:id="3"/>
    </w:p>
    <w:p w14:paraId="3E7315A1" w14:textId="77777777" w:rsidR="00B83B04" w:rsidRPr="00865112" w:rsidRDefault="00B83B04">
      <w:pPr>
        <w:pBdr>
          <w:top w:val="nil"/>
          <w:left w:val="nil"/>
          <w:bottom w:val="nil"/>
          <w:right w:val="nil"/>
          <w:between w:val="nil"/>
        </w:pBdr>
        <w:spacing w:after="0"/>
        <w:rPr>
          <w:color w:val="222222"/>
          <w:sz w:val="24"/>
          <w:szCs w:val="24"/>
          <w:lang w:val="de-DE"/>
        </w:rPr>
      </w:pPr>
    </w:p>
    <w:p w14:paraId="26A3B784" w14:textId="58680C03" w:rsidR="00865112" w:rsidRPr="00865112" w:rsidRDefault="00865112" w:rsidP="00524CF6">
      <w:pPr>
        <w:rPr>
          <w:lang w:val="de-DE"/>
        </w:rPr>
      </w:pPr>
      <w:r w:rsidRPr="00865112">
        <w:rPr>
          <w:lang w:val="de-DE"/>
        </w:rPr>
        <w:t>Gesundheitsrisiken für Migrant</w:t>
      </w:r>
      <w:r>
        <w:rPr>
          <w:lang w:val="de-DE"/>
        </w:rPr>
        <w:t>*inn</w:t>
      </w:r>
      <w:r w:rsidRPr="00865112">
        <w:rPr>
          <w:lang w:val="de-DE"/>
        </w:rPr>
        <w:t>en treten in jeder Phase der Migration auf, beginnend mit dem Herkunftsland (insbesondere wenn sie aus instabil</w:t>
      </w:r>
      <w:r w:rsidR="005C1801">
        <w:rPr>
          <w:lang w:val="de-DE"/>
        </w:rPr>
        <w:t>en Verhältnissen oder Konfliktregionen</w:t>
      </w:r>
      <w:r w:rsidRPr="00865112">
        <w:rPr>
          <w:lang w:val="de-DE"/>
        </w:rPr>
        <w:t xml:space="preserve"> kommen). Verschiedene Risiken können auch während der Reise und im Ziel- oder Transitland, aber auch in der Phase der Umsiedlung auftreten. Bitten Sie daher die Lernenden, über verschiedene Gesundheitsrisiken nachzudenken, die sich aus der Migration ergeben können, mit oder ohne Definition der Etappen. In den Schulungsunterlagen werden die Lernenden gebeten, ihre Erfahrungen in den verschiedenen Phasen zu notieren. Lassen Sie sie auf Flipcharts oder Pinnwänden alles notieren, was sie interessant finden könnten. Es wird vorgeschlagen, das </w:t>
      </w:r>
      <w:r w:rsidR="005C1801">
        <w:rPr>
          <w:lang w:val="de-DE"/>
        </w:rPr>
        <w:t>ein</w:t>
      </w:r>
      <w:r w:rsidRPr="00865112">
        <w:rPr>
          <w:lang w:val="de-DE"/>
        </w:rPr>
        <w:t xml:space="preserve">gefügte Einführungsvideo zu zeigen, gefolgt von einer detaillierten Erklärung der Gesundheitsrisiken entsprechend den Phasen. </w:t>
      </w:r>
    </w:p>
    <w:p w14:paraId="374A009C" w14:textId="4281F629" w:rsidR="00B83B04" w:rsidRPr="00865112" w:rsidRDefault="00865112" w:rsidP="00865112">
      <w:pPr>
        <w:pBdr>
          <w:top w:val="nil"/>
          <w:left w:val="nil"/>
          <w:bottom w:val="nil"/>
          <w:right w:val="nil"/>
          <w:between w:val="nil"/>
        </w:pBdr>
        <w:spacing w:after="0"/>
        <w:rPr>
          <w:color w:val="222222"/>
          <w:sz w:val="24"/>
          <w:szCs w:val="24"/>
          <w:lang w:val="de-DE"/>
        </w:rPr>
      </w:pPr>
      <w:r w:rsidRPr="00865112">
        <w:rPr>
          <w:color w:val="222222"/>
          <w:sz w:val="24"/>
          <w:szCs w:val="24"/>
          <w:lang w:val="de-DE"/>
        </w:rPr>
        <w:t xml:space="preserve">Es gibt eine digitale Hausaufgabe, die direkt mit diesem Teil der Schulung verknüpft ist. Die Lernenden werden gebeten, ihren eigenen </w:t>
      </w:r>
      <w:r>
        <w:rPr>
          <w:color w:val="222222"/>
          <w:sz w:val="24"/>
          <w:szCs w:val="24"/>
          <w:lang w:val="de-DE"/>
        </w:rPr>
        <w:t>Taschenführer</w:t>
      </w:r>
      <w:r w:rsidRPr="00865112">
        <w:rPr>
          <w:color w:val="222222"/>
          <w:sz w:val="24"/>
          <w:szCs w:val="24"/>
          <w:lang w:val="de-DE"/>
        </w:rPr>
        <w:t xml:space="preserve"> zu Gesundheitsthemen entsprechend ihren Bedürfnissen und Interessen zu erstellen. Über die Schulungsplattform können Sie die erledigten Hausaufgaben überprüfen und auch mit den Lernenden in Kontakt bleiben.</w:t>
      </w:r>
    </w:p>
    <w:p w14:paraId="72A4233B" w14:textId="77777777" w:rsidR="00865112" w:rsidRDefault="00865112" w:rsidP="00865112">
      <w:pPr>
        <w:pBdr>
          <w:top w:val="nil"/>
          <w:left w:val="nil"/>
          <w:bottom w:val="nil"/>
          <w:right w:val="nil"/>
          <w:between w:val="nil"/>
        </w:pBdr>
        <w:spacing w:after="0"/>
        <w:rPr>
          <w:color w:val="222222"/>
          <w:sz w:val="24"/>
          <w:szCs w:val="24"/>
          <w:lang w:val="de-DE"/>
        </w:rPr>
      </w:pPr>
    </w:p>
    <w:p w14:paraId="3E625063" w14:textId="77777777" w:rsidR="00142496" w:rsidRDefault="00142496" w:rsidP="00865112">
      <w:pPr>
        <w:pBdr>
          <w:top w:val="nil"/>
          <w:left w:val="nil"/>
          <w:bottom w:val="nil"/>
          <w:right w:val="nil"/>
          <w:between w:val="nil"/>
        </w:pBdr>
        <w:spacing w:after="0"/>
        <w:rPr>
          <w:color w:val="222222"/>
          <w:sz w:val="24"/>
          <w:szCs w:val="24"/>
          <w:lang w:val="de-DE"/>
        </w:rPr>
      </w:pPr>
    </w:p>
    <w:p w14:paraId="5CB2C2CD" w14:textId="77777777" w:rsidR="00142496" w:rsidRPr="00865112" w:rsidRDefault="00142496" w:rsidP="00865112">
      <w:pPr>
        <w:pBdr>
          <w:top w:val="nil"/>
          <w:left w:val="nil"/>
          <w:bottom w:val="nil"/>
          <w:right w:val="nil"/>
          <w:between w:val="nil"/>
        </w:pBdr>
        <w:spacing w:after="0"/>
        <w:rPr>
          <w:color w:val="222222"/>
          <w:sz w:val="24"/>
          <w:szCs w:val="24"/>
          <w:lang w:val="de-DE"/>
        </w:rPr>
      </w:pPr>
    </w:p>
    <w:p w14:paraId="2D063BC9" w14:textId="426BB11D" w:rsidR="00B83B04" w:rsidRPr="00BA0A62" w:rsidRDefault="00BC77F7">
      <w:pPr>
        <w:pStyle w:val="2"/>
        <w:rPr>
          <w:lang w:val="de-DE"/>
        </w:rPr>
      </w:pPr>
      <w:bookmarkStart w:id="4" w:name="_Toc104125403"/>
      <w:r w:rsidRPr="00BA0A62">
        <w:rPr>
          <w:lang w:val="de-DE"/>
        </w:rPr>
        <w:lastRenderedPageBreak/>
        <w:t xml:space="preserve">2.3 </w:t>
      </w:r>
      <w:r w:rsidR="00142496">
        <w:rPr>
          <w:lang w:val="de-DE"/>
        </w:rPr>
        <w:t>Erfassung</w:t>
      </w:r>
      <w:r w:rsidR="00BA0A62" w:rsidRPr="00BA0A62">
        <w:rPr>
          <w:lang w:val="de-DE"/>
        </w:rPr>
        <w:t xml:space="preserve"> der physischen und psychischen Gesundheit von Migrant</w:t>
      </w:r>
      <w:r w:rsidR="00BA0A62">
        <w:rPr>
          <w:lang w:val="de-DE"/>
        </w:rPr>
        <w:t>*innen</w:t>
      </w:r>
      <w:bookmarkEnd w:id="4"/>
    </w:p>
    <w:p w14:paraId="63306310" w14:textId="77777777" w:rsidR="00B83B04" w:rsidRPr="00BA0A62" w:rsidRDefault="00B83B04">
      <w:pPr>
        <w:pBdr>
          <w:top w:val="nil"/>
          <w:left w:val="nil"/>
          <w:bottom w:val="nil"/>
          <w:right w:val="nil"/>
          <w:between w:val="nil"/>
        </w:pBdr>
        <w:spacing w:after="0"/>
        <w:rPr>
          <w:color w:val="222222"/>
          <w:sz w:val="24"/>
          <w:szCs w:val="24"/>
          <w:lang w:val="de-DE"/>
        </w:rPr>
      </w:pPr>
    </w:p>
    <w:p w14:paraId="52553CDF" w14:textId="075D52FB" w:rsidR="00B83B04" w:rsidRPr="001446FA" w:rsidRDefault="001446FA">
      <w:pPr>
        <w:pBdr>
          <w:top w:val="nil"/>
          <w:left w:val="nil"/>
          <w:bottom w:val="nil"/>
          <w:right w:val="nil"/>
          <w:between w:val="nil"/>
        </w:pBdr>
        <w:spacing w:after="0"/>
        <w:rPr>
          <w:color w:val="222222"/>
          <w:sz w:val="24"/>
          <w:szCs w:val="24"/>
          <w:lang w:val="de-DE"/>
        </w:rPr>
      </w:pPr>
      <w:r w:rsidRPr="001446FA">
        <w:rPr>
          <w:color w:val="222222"/>
          <w:sz w:val="24"/>
          <w:szCs w:val="24"/>
          <w:lang w:val="de-DE"/>
        </w:rPr>
        <w:t>Migrant</w:t>
      </w:r>
      <w:r>
        <w:rPr>
          <w:color w:val="222222"/>
          <w:sz w:val="24"/>
          <w:szCs w:val="24"/>
          <w:lang w:val="de-DE"/>
        </w:rPr>
        <w:t>*inn</w:t>
      </w:r>
      <w:r w:rsidRPr="001446FA">
        <w:rPr>
          <w:color w:val="222222"/>
          <w:sz w:val="24"/>
          <w:szCs w:val="24"/>
          <w:lang w:val="de-DE"/>
        </w:rPr>
        <w:t xml:space="preserve">en sind durch bestimmte körperliche und psychische Gesundheitsprobleme gefährdet. In der Schulung werden die Lernenden mit den Symptomen vertraut gemacht, die </w:t>
      </w:r>
      <w:r>
        <w:rPr>
          <w:color w:val="222222"/>
          <w:sz w:val="24"/>
          <w:szCs w:val="24"/>
          <w:lang w:val="de-DE"/>
        </w:rPr>
        <w:t>unter Migrant*innen</w:t>
      </w:r>
      <w:r w:rsidRPr="001446FA">
        <w:rPr>
          <w:color w:val="222222"/>
          <w:sz w:val="24"/>
          <w:szCs w:val="24"/>
          <w:lang w:val="de-DE"/>
        </w:rPr>
        <w:t xml:space="preserve"> häufiger vorkommen. Anschließend moderieren Sie eine Gruppendiskussion, in der Sie </w:t>
      </w:r>
      <w:r w:rsidR="00142496">
        <w:rPr>
          <w:color w:val="222222"/>
          <w:sz w:val="24"/>
          <w:szCs w:val="24"/>
          <w:lang w:val="de-DE"/>
        </w:rPr>
        <w:t xml:space="preserve">mehr über </w:t>
      </w:r>
      <w:r w:rsidRPr="001446FA">
        <w:rPr>
          <w:color w:val="222222"/>
          <w:sz w:val="24"/>
          <w:szCs w:val="24"/>
          <w:lang w:val="de-DE"/>
        </w:rPr>
        <w:t>die Krankheitsgesch</w:t>
      </w:r>
      <w:r w:rsidR="00142496">
        <w:rPr>
          <w:color w:val="222222"/>
          <w:sz w:val="24"/>
          <w:szCs w:val="24"/>
          <w:lang w:val="de-DE"/>
        </w:rPr>
        <w:t>ichten der Lernenden erfahren</w:t>
      </w:r>
      <w:r w:rsidRPr="001446FA">
        <w:rPr>
          <w:color w:val="222222"/>
          <w:sz w:val="24"/>
          <w:szCs w:val="24"/>
          <w:lang w:val="de-DE"/>
        </w:rPr>
        <w:t xml:space="preserve">, um kulturelle Barrieren zu überwinden, die die Gesundheitskompetenz beeinflussen können. Sie können eine Diskussion z. B. über die Symptome von gesundheitlichen und psychischen Problemen beginnen, die </w:t>
      </w:r>
      <w:r>
        <w:rPr>
          <w:color w:val="222222"/>
          <w:sz w:val="24"/>
          <w:szCs w:val="24"/>
          <w:lang w:val="de-DE"/>
        </w:rPr>
        <w:t xml:space="preserve">unter Migrant*innen </w:t>
      </w:r>
      <w:r w:rsidRPr="001446FA">
        <w:rPr>
          <w:color w:val="222222"/>
          <w:sz w:val="24"/>
          <w:szCs w:val="24"/>
          <w:lang w:val="de-DE"/>
        </w:rPr>
        <w:t>häufiger vorkommen</w:t>
      </w:r>
      <w:r w:rsidR="00BC77F7" w:rsidRPr="001446FA">
        <w:rPr>
          <w:color w:val="222222"/>
          <w:sz w:val="24"/>
          <w:szCs w:val="24"/>
          <w:lang w:val="de-DE"/>
        </w:rPr>
        <w:t xml:space="preserve">. </w:t>
      </w:r>
    </w:p>
    <w:p w14:paraId="2B0D0B9B" w14:textId="77777777" w:rsidR="00B83B04" w:rsidRPr="001446FA" w:rsidRDefault="00B83B04">
      <w:pPr>
        <w:pBdr>
          <w:top w:val="nil"/>
          <w:left w:val="nil"/>
          <w:bottom w:val="nil"/>
          <w:right w:val="nil"/>
          <w:between w:val="nil"/>
        </w:pBdr>
        <w:spacing w:after="0"/>
        <w:rPr>
          <w:color w:val="222222"/>
          <w:sz w:val="24"/>
          <w:szCs w:val="24"/>
          <w:lang w:val="de-DE"/>
        </w:rPr>
      </w:pPr>
    </w:p>
    <w:p w14:paraId="75ECC5B0" w14:textId="5A1DC604" w:rsidR="00B83B04" w:rsidRPr="001446FA" w:rsidRDefault="001446FA">
      <w:pPr>
        <w:pBdr>
          <w:top w:val="nil"/>
          <w:left w:val="nil"/>
          <w:bottom w:val="nil"/>
          <w:right w:val="nil"/>
          <w:between w:val="nil"/>
        </w:pBdr>
        <w:spacing w:after="0"/>
        <w:rPr>
          <w:color w:val="222222"/>
          <w:sz w:val="24"/>
          <w:szCs w:val="24"/>
          <w:lang w:val="de-DE"/>
        </w:rPr>
      </w:pPr>
      <w:r w:rsidRPr="001446FA">
        <w:rPr>
          <w:color w:val="222222"/>
          <w:sz w:val="24"/>
          <w:szCs w:val="24"/>
          <w:lang w:val="de-DE"/>
        </w:rPr>
        <w:t>Die Wahrnehmung von Krankheit und der Umgang mit ihr können je nach kulturellem Hintergrund sehr unterschiedlich sein. Krankheitssymptome werden unterschiedlich interpretiert und auch der Zeitpunkt, ab dem medizinische Hilfe benötigt wird, kann variieren. Die Einschätzung, wann Hausm</w:t>
      </w:r>
      <w:r w:rsidR="00142496">
        <w:rPr>
          <w:color w:val="222222"/>
          <w:sz w:val="24"/>
          <w:szCs w:val="24"/>
          <w:lang w:val="de-DE"/>
        </w:rPr>
        <w:t>ittel ausreichen und wann ein Arzt / eine Ärztin</w:t>
      </w:r>
      <w:r w:rsidRPr="001446FA">
        <w:rPr>
          <w:color w:val="222222"/>
          <w:sz w:val="24"/>
          <w:szCs w:val="24"/>
          <w:lang w:val="de-DE"/>
        </w:rPr>
        <w:t xml:space="preserve"> aufgesucht werden sollte, kann kulturell unterschiedlich sein. Auch die Kommunikation von Krankheiten ist unterschiedlich: Es gibt Krankheiten, die man mit Freunden teilt, und andere, die als Tabu behandelt werden. Auch der Genesungsprozess unterliegt unterschiedlichen Merkmalen: Zieht sich ein</w:t>
      </w:r>
      <w:r>
        <w:rPr>
          <w:color w:val="222222"/>
          <w:sz w:val="24"/>
          <w:szCs w:val="24"/>
          <w:lang w:val="de-DE"/>
        </w:rPr>
        <w:t>/e</w:t>
      </w:r>
      <w:r w:rsidRPr="001446FA">
        <w:rPr>
          <w:color w:val="222222"/>
          <w:sz w:val="24"/>
          <w:szCs w:val="24"/>
          <w:lang w:val="de-DE"/>
        </w:rPr>
        <w:t xml:space="preserve"> Kranke</w:t>
      </w:r>
      <w:r>
        <w:rPr>
          <w:color w:val="222222"/>
          <w:sz w:val="24"/>
          <w:szCs w:val="24"/>
          <w:lang w:val="de-DE"/>
        </w:rPr>
        <w:t>/</w:t>
      </w:r>
      <w:r w:rsidRPr="001446FA">
        <w:rPr>
          <w:color w:val="222222"/>
          <w:sz w:val="24"/>
          <w:szCs w:val="24"/>
          <w:lang w:val="de-DE"/>
        </w:rPr>
        <w:t>r aus dem Familienleben zurück oder spielt die Familie eine Rolle bei der Genesung? Welche Rolle spielt die digitale Hilfe und wie wird sie genutzt? Für Ihre eigene Vorbereitung wird empfohlen, dass Sie versuchen, einige Informationen von Kolleg</w:t>
      </w:r>
      <w:r>
        <w:rPr>
          <w:color w:val="222222"/>
          <w:sz w:val="24"/>
          <w:szCs w:val="24"/>
          <w:lang w:val="de-DE"/>
        </w:rPr>
        <w:t>*inn</w:t>
      </w:r>
      <w:r w:rsidRPr="001446FA">
        <w:rPr>
          <w:color w:val="222222"/>
          <w:sz w:val="24"/>
          <w:szCs w:val="24"/>
          <w:lang w:val="de-DE"/>
        </w:rPr>
        <w:t>en oder Organisationen zur Unterstützung von Migrant</w:t>
      </w:r>
      <w:r>
        <w:rPr>
          <w:color w:val="222222"/>
          <w:sz w:val="24"/>
          <w:szCs w:val="24"/>
          <w:lang w:val="de-DE"/>
        </w:rPr>
        <w:t>*inn</w:t>
      </w:r>
      <w:r w:rsidRPr="001446FA">
        <w:rPr>
          <w:color w:val="222222"/>
          <w:sz w:val="24"/>
          <w:szCs w:val="24"/>
          <w:lang w:val="de-DE"/>
        </w:rPr>
        <w:t>en zu sammeln, um sich zu sensibilisieren.</w:t>
      </w:r>
    </w:p>
    <w:p w14:paraId="1924E004" w14:textId="77777777" w:rsidR="001446FA" w:rsidRPr="001446FA" w:rsidRDefault="001446FA">
      <w:pPr>
        <w:pBdr>
          <w:top w:val="nil"/>
          <w:left w:val="nil"/>
          <w:bottom w:val="nil"/>
          <w:right w:val="nil"/>
          <w:between w:val="nil"/>
        </w:pBdr>
        <w:spacing w:after="0"/>
        <w:rPr>
          <w:color w:val="222222"/>
          <w:sz w:val="24"/>
          <w:szCs w:val="24"/>
          <w:lang w:val="de-DE"/>
        </w:rPr>
      </w:pPr>
    </w:p>
    <w:p w14:paraId="1768F1AB" w14:textId="1ABD5B2E" w:rsidR="00B83B04" w:rsidRPr="001446FA" w:rsidRDefault="001446FA">
      <w:pPr>
        <w:pBdr>
          <w:top w:val="nil"/>
          <w:left w:val="nil"/>
          <w:bottom w:val="nil"/>
          <w:right w:val="nil"/>
          <w:between w:val="nil"/>
        </w:pBdr>
        <w:spacing w:after="0"/>
        <w:rPr>
          <w:color w:val="222222"/>
          <w:sz w:val="24"/>
          <w:szCs w:val="24"/>
          <w:lang w:val="de-DE"/>
        </w:rPr>
      </w:pPr>
      <w:r w:rsidRPr="001446FA">
        <w:rPr>
          <w:color w:val="222222"/>
          <w:sz w:val="24"/>
          <w:szCs w:val="24"/>
          <w:lang w:val="de-DE"/>
        </w:rPr>
        <w:t xml:space="preserve">Nach Angaben der Weltgesundheitsorganisation WHO sind vor allem Infektionskrankheiten wie Tuberkulose, HIV-Infektionen und virale Hepatitis, Atemwegserkrankungen und </w:t>
      </w:r>
      <w:r w:rsidR="00142496">
        <w:rPr>
          <w:color w:val="222222"/>
          <w:sz w:val="24"/>
          <w:szCs w:val="24"/>
          <w:lang w:val="de-DE"/>
        </w:rPr>
        <w:t xml:space="preserve">weitere </w:t>
      </w:r>
      <w:r w:rsidRPr="001446FA">
        <w:rPr>
          <w:color w:val="222222"/>
          <w:sz w:val="24"/>
          <w:szCs w:val="24"/>
          <w:lang w:val="de-DE"/>
        </w:rPr>
        <w:t>übertrag</w:t>
      </w:r>
      <w:r w:rsidR="00142496">
        <w:rPr>
          <w:color w:val="222222"/>
          <w:sz w:val="24"/>
          <w:szCs w:val="24"/>
          <w:lang w:val="de-DE"/>
        </w:rPr>
        <w:t>bare</w:t>
      </w:r>
      <w:r w:rsidRPr="001446FA">
        <w:rPr>
          <w:color w:val="222222"/>
          <w:sz w:val="24"/>
          <w:szCs w:val="24"/>
          <w:lang w:val="de-DE"/>
        </w:rPr>
        <w:t xml:space="preserve"> Krankheiten in Migrantengemeinschaften am häufigsten. Folgende Krankheiten werden überproportional häufig beobachtet: Herz-Kreislauf-Erkrankungen, Diabetes, Krebs und chronische Lungenerkrankungen, von denen viele eine kontinuierliche Versorgung über einen langen Zeitraum, oft ein Leben lang, erfordern. Wahrscheinlich wissen Ihre Lernenden, </w:t>
      </w:r>
      <w:r w:rsidRPr="001446FA">
        <w:rPr>
          <w:color w:val="222222"/>
          <w:sz w:val="24"/>
          <w:szCs w:val="24"/>
          <w:lang w:val="de-DE"/>
        </w:rPr>
        <w:lastRenderedPageBreak/>
        <w:t>welche Krankheiten häufiger auftreten, aber wie man mit ihnen umgeht, um die Heilungschancen zu maximieren, ist nicht immer klar. Oft ist auch unklar, ab wann ärztliche Hilfe und Medikamente u</w:t>
      </w:r>
      <w:r w:rsidR="00142496">
        <w:rPr>
          <w:color w:val="222222"/>
          <w:sz w:val="24"/>
          <w:szCs w:val="24"/>
          <w:lang w:val="de-DE"/>
        </w:rPr>
        <w:t xml:space="preserve">nbedingt notwendig sind, um </w:t>
      </w:r>
      <w:r w:rsidRPr="001446FA">
        <w:rPr>
          <w:color w:val="222222"/>
          <w:sz w:val="24"/>
          <w:szCs w:val="24"/>
          <w:lang w:val="de-DE"/>
        </w:rPr>
        <w:t>Symptome zu lindern und gesundheitliche Folgeschäden zu vermeiden. Das Bewusstsein dafür zu schär</w:t>
      </w:r>
      <w:r w:rsidR="00142496">
        <w:rPr>
          <w:color w:val="222222"/>
          <w:sz w:val="24"/>
          <w:szCs w:val="24"/>
          <w:lang w:val="de-DE"/>
        </w:rPr>
        <w:t>fen, ist auch ein Ziel Ihrer Fort</w:t>
      </w:r>
      <w:r w:rsidRPr="001446FA">
        <w:rPr>
          <w:color w:val="222222"/>
          <w:sz w:val="24"/>
          <w:szCs w:val="24"/>
          <w:lang w:val="de-DE"/>
        </w:rPr>
        <w:t>bildung</w:t>
      </w:r>
      <w:r w:rsidR="00BC77F7" w:rsidRPr="001446FA">
        <w:rPr>
          <w:color w:val="222222"/>
          <w:sz w:val="24"/>
          <w:szCs w:val="24"/>
          <w:lang w:val="de-DE"/>
        </w:rPr>
        <w:t>.</w:t>
      </w:r>
    </w:p>
    <w:p w14:paraId="300BE2FF" w14:textId="77777777" w:rsidR="00B83B04" w:rsidRPr="001446FA" w:rsidRDefault="00B83B04">
      <w:pPr>
        <w:pBdr>
          <w:top w:val="nil"/>
          <w:left w:val="nil"/>
          <w:bottom w:val="nil"/>
          <w:right w:val="nil"/>
          <w:between w:val="nil"/>
        </w:pBdr>
        <w:spacing w:after="0"/>
        <w:rPr>
          <w:color w:val="222222"/>
          <w:sz w:val="24"/>
          <w:szCs w:val="24"/>
          <w:lang w:val="de-DE"/>
        </w:rPr>
      </w:pPr>
    </w:p>
    <w:p w14:paraId="2BED1681" w14:textId="1877C72F" w:rsidR="00B83B04" w:rsidRPr="00BA0A62" w:rsidRDefault="00BA0A62">
      <w:pPr>
        <w:pBdr>
          <w:top w:val="nil"/>
          <w:left w:val="nil"/>
          <w:bottom w:val="nil"/>
          <w:right w:val="nil"/>
          <w:between w:val="nil"/>
        </w:pBdr>
        <w:spacing w:after="0"/>
        <w:rPr>
          <w:color w:val="222222"/>
          <w:sz w:val="24"/>
          <w:szCs w:val="24"/>
          <w:lang w:val="de-DE"/>
        </w:rPr>
      </w:pPr>
      <w:r w:rsidRPr="00BA0A62">
        <w:rPr>
          <w:color w:val="222222"/>
          <w:sz w:val="24"/>
          <w:szCs w:val="24"/>
          <w:lang w:val="de-DE"/>
        </w:rPr>
        <w:t>Es ist die Aufgabe eines Arztes</w:t>
      </w:r>
      <w:r w:rsidR="00142496">
        <w:rPr>
          <w:color w:val="222222"/>
          <w:sz w:val="24"/>
          <w:szCs w:val="24"/>
          <w:lang w:val="de-DE"/>
        </w:rPr>
        <w:t>/einer Ärztin</w:t>
      </w:r>
      <w:r w:rsidRPr="00BA0A62">
        <w:rPr>
          <w:color w:val="222222"/>
          <w:sz w:val="24"/>
          <w:szCs w:val="24"/>
          <w:lang w:val="de-DE"/>
        </w:rPr>
        <w:t xml:space="preserve">, spezifische Gesundheitsmaßnahmen vorzuschlagen, aber Sie sollten </w:t>
      </w:r>
      <w:r w:rsidR="00142496">
        <w:rPr>
          <w:color w:val="222222"/>
          <w:sz w:val="24"/>
          <w:szCs w:val="24"/>
          <w:lang w:val="de-DE"/>
        </w:rPr>
        <w:t>Ihren Lernenden</w:t>
      </w:r>
      <w:r w:rsidRPr="00BA0A62">
        <w:rPr>
          <w:color w:val="222222"/>
          <w:sz w:val="24"/>
          <w:szCs w:val="24"/>
          <w:lang w:val="de-DE"/>
        </w:rPr>
        <w:t xml:space="preserve"> bewusst machen, dass die medizinische Behandlung auf unterschiedliche Weise erfolgen kann: in einer Apotheke, in einer Arztpraxis, durch </w:t>
      </w:r>
      <w:r>
        <w:rPr>
          <w:color w:val="222222"/>
          <w:sz w:val="24"/>
          <w:szCs w:val="24"/>
          <w:lang w:val="de-DE"/>
        </w:rPr>
        <w:t>Ä</w:t>
      </w:r>
      <w:r w:rsidRPr="00BA0A62">
        <w:rPr>
          <w:color w:val="222222"/>
          <w:sz w:val="24"/>
          <w:szCs w:val="24"/>
          <w:lang w:val="de-DE"/>
        </w:rPr>
        <w:t>rzt</w:t>
      </w:r>
      <w:r>
        <w:rPr>
          <w:color w:val="222222"/>
          <w:sz w:val="24"/>
          <w:szCs w:val="24"/>
          <w:lang w:val="de-DE"/>
        </w:rPr>
        <w:t>*in</w:t>
      </w:r>
      <w:r w:rsidR="00142496">
        <w:rPr>
          <w:color w:val="222222"/>
          <w:sz w:val="24"/>
          <w:szCs w:val="24"/>
          <w:lang w:val="de-DE"/>
        </w:rPr>
        <w:t>nen</w:t>
      </w:r>
      <w:r w:rsidRPr="00BA0A62">
        <w:rPr>
          <w:color w:val="222222"/>
          <w:sz w:val="24"/>
          <w:szCs w:val="24"/>
          <w:lang w:val="de-DE"/>
        </w:rPr>
        <w:t>, d</w:t>
      </w:r>
      <w:r>
        <w:rPr>
          <w:color w:val="222222"/>
          <w:sz w:val="24"/>
          <w:szCs w:val="24"/>
          <w:lang w:val="de-DE"/>
        </w:rPr>
        <w:t>ie</w:t>
      </w:r>
      <w:r w:rsidRPr="00BA0A62">
        <w:rPr>
          <w:color w:val="222222"/>
          <w:sz w:val="24"/>
          <w:szCs w:val="24"/>
          <w:lang w:val="de-DE"/>
        </w:rPr>
        <w:t xml:space="preserve"> ein</w:t>
      </w:r>
      <w:r w:rsidR="00142496">
        <w:rPr>
          <w:color w:val="222222"/>
          <w:sz w:val="24"/>
          <w:szCs w:val="24"/>
          <w:lang w:val="de-DE"/>
        </w:rPr>
        <w:t>e kranke Person zu Hause besuchen</w:t>
      </w:r>
      <w:r w:rsidRPr="00BA0A62">
        <w:rPr>
          <w:color w:val="222222"/>
          <w:sz w:val="24"/>
          <w:szCs w:val="24"/>
          <w:lang w:val="de-DE"/>
        </w:rPr>
        <w:t xml:space="preserve">, in </w:t>
      </w:r>
      <w:r w:rsidR="00142496">
        <w:rPr>
          <w:color w:val="222222"/>
          <w:sz w:val="24"/>
          <w:szCs w:val="24"/>
          <w:lang w:val="de-DE"/>
        </w:rPr>
        <w:t xml:space="preserve">der </w:t>
      </w:r>
      <w:r w:rsidRPr="00BA0A62">
        <w:rPr>
          <w:color w:val="222222"/>
          <w:sz w:val="24"/>
          <w:szCs w:val="24"/>
          <w:lang w:val="de-DE"/>
        </w:rPr>
        <w:t>Notaufnahme eines Krankenhauses und digital.  Die Lernenden sollt</w:t>
      </w:r>
      <w:r w:rsidR="00142496">
        <w:rPr>
          <w:color w:val="222222"/>
          <w:sz w:val="24"/>
          <w:szCs w:val="24"/>
          <w:lang w:val="de-DE"/>
        </w:rPr>
        <w:t>en wissen, dass immer mehr Ärzt*innen</w:t>
      </w:r>
      <w:r w:rsidRPr="00BA0A62">
        <w:rPr>
          <w:color w:val="222222"/>
          <w:sz w:val="24"/>
          <w:szCs w:val="24"/>
          <w:lang w:val="de-DE"/>
        </w:rPr>
        <w:t xml:space="preserve"> auch digitale Behandlungen anbieten, insbesondere in Zeiten einer Pandemie. Allerdings gibt es dafür Voraussetzungen, und in der Regel muss der Arzt</w:t>
      </w:r>
      <w:r w:rsidR="00142496">
        <w:rPr>
          <w:color w:val="222222"/>
          <w:sz w:val="24"/>
          <w:szCs w:val="24"/>
          <w:lang w:val="de-DE"/>
        </w:rPr>
        <w:t>/die Ärztin</w:t>
      </w:r>
      <w:r w:rsidRPr="00BA0A62">
        <w:rPr>
          <w:color w:val="222222"/>
          <w:sz w:val="24"/>
          <w:szCs w:val="24"/>
          <w:lang w:val="de-DE"/>
        </w:rPr>
        <w:t xml:space="preserve"> </w:t>
      </w:r>
      <w:r w:rsidR="00142496">
        <w:rPr>
          <w:color w:val="222222"/>
          <w:sz w:val="24"/>
          <w:szCs w:val="24"/>
          <w:lang w:val="de-DE"/>
        </w:rPr>
        <w:t>den</w:t>
      </w:r>
      <w:r w:rsidRPr="00BA0A62">
        <w:rPr>
          <w:color w:val="222222"/>
          <w:sz w:val="24"/>
          <w:szCs w:val="24"/>
          <w:lang w:val="de-DE"/>
        </w:rPr>
        <w:t xml:space="preserve"> Gesundheitszustand </w:t>
      </w:r>
      <w:r w:rsidR="00142496">
        <w:rPr>
          <w:color w:val="222222"/>
          <w:sz w:val="24"/>
          <w:szCs w:val="24"/>
          <w:lang w:val="de-DE"/>
        </w:rPr>
        <w:t xml:space="preserve">einer Patientin / eines Patienten einmal grundlegend </w:t>
      </w:r>
      <w:r w:rsidRPr="00BA0A62">
        <w:rPr>
          <w:color w:val="222222"/>
          <w:sz w:val="24"/>
          <w:szCs w:val="24"/>
          <w:lang w:val="de-DE"/>
        </w:rPr>
        <w:t xml:space="preserve">erfassen. Für Ihre Lernenden könnte die digitale Behandlung einige Vorteile haben, da sie über ein Mobiltelefon </w:t>
      </w:r>
      <w:r w:rsidR="00142496">
        <w:rPr>
          <w:color w:val="222222"/>
          <w:sz w:val="24"/>
          <w:szCs w:val="24"/>
          <w:lang w:val="de-DE"/>
        </w:rPr>
        <w:t>organisiert</w:t>
      </w:r>
      <w:r w:rsidRPr="00BA0A62">
        <w:rPr>
          <w:color w:val="222222"/>
          <w:sz w:val="24"/>
          <w:szCs w:val="24"/>
          <w:lang w:val="de-DE"/>
        </w:rPr>
        <w:t xml:space="preserve"> werden kann und Migrant</w:t>
      </w:r>
      <w:r>
        <w:rPr>
          <w:color w:val="222222"/>
          <w:sz w:val="24"/>
          <w:szCs w:val="24"/>
          <w:lang w:val="de-DE"/>
        </w:rPr>
        <w:t>*innen</w:t>
      </w:r>
      <w:r w:rsidRPr="00BA0A62">
        <w:rPr>
          <w:color w:val="222222"/>
          <w:sz w:val="24"/>
          <w:szCs w:val="24"/>
          <w:lang w:val="de-DE"/>
        </w:rPr>
        <w:t xml:space="preserve"> nicht in eine Arztpraxis kommen m</w:t>
      </w:r>
      <w:r>
        <w:rPr>
          <w:color w:val="222222"/>
          <w:sz w:val="24"/>
          <w:szCs w:val="24"/>
          <w:lang w:val="de-DE"/>
        </w:rPr>
        <w:t>ü</w:t>
      </w:r>
      <w:r w:rsidRPr="00BA0A62">
        <w:rPr>
          <w:color w:val="222222"/>
          <w:sz w:val="24"/>
          <w:szCs w:val="24"/>
          <w:lang w:val="de-DE"/>
        </w:rPr>
        <w:t>ss</w:t>
      </w:r>
      <w:r>
        <w:rPr>
          <w:color w:val="222222"/>
          <w:sz w:val="24"/>
          <w:szCs w:val="24"/>
          <w:lang w:val="de-DE"/>
        </w:rPr>
        <w:t>en</w:t>
      </w:r>
      <w:r w:rsidRPr="00BA0A62">
        <w:rPr>
          <w:color w:val="222222"/>
          <w:sz w:val="24"/>
          <w:szCs w:val="24"/>
          <w:lang w:val="de-DE"/>
        </w:rPr>
        <w:t>.</w:t>
      </w:r>
    </w:p>
    <w:p w14:paraId="3A96FA5F" w14:textId="77777777" w:rsidR="00BA0A62" w:rsidRPr="00BA0A62" w:rsidRDefault="00BA0A62">
      <w:pPr>
        <w:pBdr>
          <w:top w:val="nil"/>
          <w:left w:val="nil"/>
          <w:bottom w:val="nil"/>
          <w:right w:val="nil"/>
          <w:between w:val="nil"/>
        </w:pBdr>
        <w:spacing w:after="0"/>
        <w:rPr>
          <w:color w:val="222222"/>
          <w:sz w:val="24"/>
          <w:szCs w:val="24"/>
          <w:lang w:val="de-DE"/>
        </w:rPr>
      </w:pPr>
    </w:p>
    <w:p w14:paraId="0275ED9F" w14:textId="282CCF0E" w:rsidR="00BA0A62" w:rsidRPr="00BA0A62" w:rsidRDefault="00BA0A62" w:rsidP="00BA0A62">
      <w:pPr>
        <w:pBdr>
          <w:top w:val="nil"/>
          <w:left w:val="nil"/>
          <w:bottom w:val="nil"/>
          <w:right w:val="nil"/>
          <w:between w:val="nil"/>
        </w:pBdr>
        <w:spacing w:before="120" w:after="120"/>
        <w:rPr>
          <w:color w:val="222222"/>
          <w:sz w:val="24"/>
          <w:szCs w:val="24"/>
          <w:lang w:val="de-DE"/>
        </w:rPr>
      </w:pPr>
      <w:r w:rsidRPr="00BA0A62">
        <w:rPr>
          <w:color w:val="222222"/>
          <w:sz w:val="24"/>
          <w:szCs w:val="24"/>
          <w:lang w:val="de-DE"/>
        </w:rPr>
        <w:t>Über psychische Gesundheit zu sprechen, kann ein sehr sensibles Thema sein, und für einige Gruppen (z. B. Flüchtlinge) ist der Zugang zu Beratung, Behandlung und Therapie (persönlich und online) nicht immer kurzfristig möglich. Flüchtlinge mit po</w:t>
      </w:r>
      <w:r w:rsidR="00142496">
        <w:rPr>
          <w:color w:val="222222"/>
          <w:sz w:val="24"/>
          <w:szCs w:val="24"/>
          <w:lang w:val="de-DE"/>
        </w:rPr>
        <w:t>sttraumatischen</w:t>
      </w:r>
      <w:r w:rsidRPr="00BA0A62">
        <w:rPr>
          <w:color w:val="222222"/>
          <w:sz w:val="24"/>
          <w:szCs w:val="24"/>
          <w:lang w:val="de-DE"/>
        </w:rPr>
        <w:t xml:space="preserve"> </w:t>
      </w:r>
      <w:r w:rsidR="00142496">
        <w:rPr>
          <w:color w:val="222222"/>
          <w:sz w:val="24"/>
          <w:szCs w:val="24"/>
          <w:lang w:val="de-DE"/>
        </w:rPr>
        <w:t>Symptomen</w:t>
      </w:r>
      <w:r w:rsidRPr="00BA0A62">
        <w:rPr>
          <w:color w:val="222222"/>
          <w:sz w:val="24"/>
          <w:szCs w:val="24"/>
          <w:lang w:val="de-DE"/>
        </w:rPr>
        <w:t xml:space="preserve"> sind eine gefährdete Gruppe, für die es nur wenige präventive und therapeutische Maßnahmen gibt. Integrative, kultursensible Ansätze zur Behandlung von </w:t>
      </w:r>
      <w:r>
        <w:rPr>
          <w:color w:val="222222"/>
          <w:sz w:val="24"/>
          <w:szCs w:val="24"/>
          <w:lang w:val="de-DE"/>
        </w:rPr>
        <w:t>Geflüchteten</w:t>
      </w:r>
      <w:r w:rsidRPr="00BA0A62">
        <w:rPr>
          <w:color w:val="222222"/>
          <w:sz w:val="24"/>
          <w:szCs w:val="24"/>
          <w:lang w:val="de-DE"/>
        </w:rPr>
        <w:t xml:space="preserve"> stehen vor komplexen Herausforderungen wie kulturellen und sprachlichen Barrieren, die eine Spezialisierung der medizinischen Fachkräfte erfordern. Inzwischen ist jedoch bekannt, dass psychische Störungen in Migrant</w:t>
      </w:r>
      <w:r>
        <w:rPr>
          <w:color w:val="222222"/>
          <w:sz w:val="24"/>
          <w:szCs w:val="24"/>
          <w:lang w:val="de-DE"/>
        </w:rPr>
        <w:t>*inn</w:t>
      </w:r>
      <w:r w:rsidRPr="00BA0A62">
        <w:rPr>
          <w:color w:val="222222"/>
          <w:sz w:val="24"/>
          <w:szCs w:val="24"/>
          <w:lang w:val="de-DE"/>
        </w:rPr>
        <w:t>engemeinschaften ein Thema sind, und es sollte, wenn möglich, in Ihrer Schulung behandelt werden. Das Schulungsmaterial enthält mehrere Übungen und Empfehlungen für Umsetzungsschritte.</w:t>
      </w:r>
    </w:p>
    <w:p w14:paraId="018D4C22" w14:textId="38A8D2E5" w:rsidR="00B83B04" w:rsidRPr="00BA0A62" w:rsidRDefault="00BA0A62" w:rsidP="00BA0A62">
      <w:pPr>
        <w:pBdr>
          <w:top w:val="nil"/>
          <w:left w:val="nil"/>
          <w:bottom w:val="nil"/>
          <w:right w:val="nil"/>
          <w:between w:val="nil"/>
        </w:pBdr>
        <w:spacing w:before="120" w:after="120"/>
        <w:rPr>
          <w:color w:val="222222"/>
          <w:sz w:val="24"/>
          <w:szCs w:val="24"/>
          <w:lang w:val="de-DE"/>
        </w:rPr>
      </w:pPr>
      <w:r w:rsidRPr="00BA0A62">
        <w:rPr>
          <w:color w:val="222222"/>
          <w:sz w:val="24"/>
          <w:szCs w:val="24"/>
          <w:lang w:val="de-DE"/>
        </w:rPr>
        <w:lastRenderedPageBreak/>
        <w:t>An jeder Stelle sollten Sie deutlich machen, dass die Lernenden für die Diagnose und Behandlung immer ihren Arzt</w:t>
      </w:r>
      <w:r w:rsidR="00142496">
        <w:rPr>
          <w:color w:val="222222"/>
          <w:sz w:val="24"/>
          <w:szCs w:val="24"/>
          <w:lang w:val="de-DE"/>
        </w:rPr>
        <w:t xml:space="preserve"> / ihre Ärztin</w:t>
      </w:r>
      <w:r w:rsidRPr="00BA0A62">
        <w:rPr>
          <w:color w:val="222222"/>
          <w:sz w:val="24"/>
          <w:szCs w:val="24"/>
          <w:lang w:val="de-DE"/>
        </w:rPr>
        <w:t xml:space="preserve"> aufsuchen sollten.</w:t>
      </w:r>
    </w:p>
    <w:p w14:paraId="5A63507E" w14:textId="77777777" w:rsidR="00BA0A62" w:rsidRPr="00BA0A62" w:rsidRDefault="00BA0A62" w:rsidP="00BA0A62">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de-DE"/>
        </w:rPr>
      </w:pPr>
    </w:p>
    <w:p w14:paraId="24AE6E7F" w14:textId="4FC8589A" w:rsidR="00B83B04" w:rsidRPr="003A19E1" w:rsidRDefault="00BC77F7">
      <w:pPr>
        <w:pStyle w:val="2"/>
        <w:tabs>
          <w:tab w:val="center" w:pos="4536"/>
        </w:tabs>
        <w:rPr>
          <w:lang w:val="de-DE"/>
        </w:rPr>
      </w:pPr>
      <w:bookmarkStart w:id="5" w:name="_Toc104125404"/>
      <w:r w:rsidRPr="003A19E1">
        <w:rPr>
          <w:lang w:val="de-DE"/>
        </w:rPr>
        <w:t xml:space="preserve">2.4. </w:t>
      </w:r>
      <w:r w:rsidR="00BA0A62" w:rsidRPr="003A19E1">
        <w:rPr>
          <w:lang w:val="de-DE"/>
        </w:rPr>
        <w:t>Präventionsstrategien</w:t>
      </w:r>
      <w:bookmarkEnd w:id="5"/>
      <w:r w:rsidRPr="003A19E1">
        <w:rPr>
          <w:lang w:val="de-DE"/>
        </w:rPr>
        <w:tab/>
      </w:r>
    </w:p>
    <w:p w14:paraId="52D1D62E" w14:textId="77777777" w:rsidR="00B83B04" w:rsidRPr="003A19E1" w:rsidRDefault="00B83B04">
      <w:pPr>
        <w:pBdr>
          <w:top w:val="nil"/>
          <w:left w:val="nil"/>
          <w:bottom w:val="nil"/>
          <w:right w:val="nil"/>
          <w:between w:val="nil"/>
        </w:pBdr>
        <w:spacing w:after="0"/>
        <w:rPr>
          <w:color w:val="000000"/>
          <w:sz w:val="24"/>
          <w:szCs w:val="24"/>
          <w:lang w:val="de-DE"/>
        </w:rPr>
      </w:pPr>
    </w:p>
    <w:p w14:paraId="57127219" w14:textId="4EE5E76F" w:rsidR="00B83B04" w:rsidRPr="005E5914" w:rsidRDefault="005E5914">
      <w:pPr>
        <w:pBdr>
          <w:top w:val="nil"/>
          <w:left w:val="nil"/>
          <w:bottom w:val="nil"/>
          <w:right w:val="nil"/>
          <w:between w:val="nil"/>
        </w:pBdr>
        <w:spacing w:after="0"/>
        <w:rPr>
          <w:color w:val="000000"/>
          <w:sz w:val="24"/>
          <w:szCs w:val="24"/>
          <w:lang w:val="de-DE"/>
        </w:rPr>
      </w:pPr>
      <w:r w:rsidRPr="005E5914">
        <w:rPr>
          <w:color w:val="000000"/>
          <w:sz w:val="24"/>
          <w:szCs w:val="24"/>
          <w:lang w:val="de-DE"/>
        </w:rPr>
        <w:t xml:space="preserve">In diesem Teil der Schulung geht es darum, etwas über Krankheitsprävention zu lernen, die gängigsten Präventionsstrategien zu erkunden und zu verstehen, wie wichtig es ist, Präventionsstrategien anzuwenden. Ihre Aufgabe als </w:t>
      </w:r>
      <w:r w:rsidR="00142496">
        <w:rPr>
          <w:color w:val="000000"/>
          <w:sz w:val="24"/>
          <w:szCs w:val="24"/>
          <w:lang w:val="de-DE"/>
        </w:rPr>
        <w:t>Trainer</w:t>
      </w:r>
      <w:r>
        <w:rPr>
          <w:color w:val="000000"/>
          <w:sz w:val="24"/>
          <w:szCs w:val="24"/>
          <w:lang w:val="de-DE"/>
        </w:rPr>
        <w:t>*in</w:t>
      </w:r>
      <w:r w:rsidRPr="005E5914">
        <w:rPr>
          <w:color w:val="000000"/>
          <w:sz w:val="24"/>
          <w:szCs w:val="24"/>
          <w:lang w:val="de-DE"/>
        </w:rPr>
        <w:t xml:space="preserve"> ist es, entsprechende </w:t>
      </w:r>
      <w:r w:rsidR="00142496">
        <w:rPr>
          <w:color w:val="000000"/>
          <w:sz w:val="24"/>
          <w:szCs w:val="24"/>
          <w:lang w:val="de-DE"/>
        </w:rPr>
        <w:t xml:space="preserve">digitale </w:t>
      </w:r>
      <w:r w:rsidRPr="005E5914">
        <w:rPr>
          <w:color w:val="000000"/>
          <w:sz w:val="24"/>
          <w:szCs w:val="24"/>
          <w:lang w:val="de-DE"/>
        </w:rPr>
        <w:t>Informationen zu vermitteln (z. B. über wichtige Themen wie Impfungen, durch Impfungen vermeidbare Krankheiten, Ernährung (einschließlich Behandlung und Vorbeugung von Mangelernährung), die negativen Auswirkungen von Alkohol und Rauchen, die Bedeutung von körperlicher Aktivität während des gesamten Lebens und die empfohlenen Vorsorgeuntersuchungen für chronische und andere Krankheiten. Die Einhaltung von Hygieneregeln ist eine wichtige und leicht zu befolgende Strategie der Primärprävention, die ebenfalls erörtert werden soll</w:t>
      </w:r>
      <w:r w:rsidR="00142496">
        <w:rPr>
          <w:color w:val="000000"/>
          <w:sz w:val="24"/>
          <w:szCs w:val="24"/>
          <w:lang w:val="de-DE"/>
        </w:rPr>
        <w:t>te</w:t>
      </w:r>
      <w:r w:rsidRPr="005E5914">
        <w:rPr>
          <w:color w:val="000000"/>
          <w:sz w:val="24"/>
          <w:szCs w:val="24"/>
          <w:lang w:val="de-DE"/>
        </w:rPr>
        <w:t>.</w:t>
      </w:r>
    </w:p>
    <w:p w14:paraId="105D0A67" w14:textId="40292DCF" w:rsidR="005E5914" w:rsidRPr="005E5914" w:rsidRDefault="005E5914" w:rsidP="005E5914">
      <w:pPr>
        <w:pBdr>
          <w:top w:val="nil"/>
          <w:left w:val="nil"/>
          <w:bottom w:val="nil"/>
          <w:right w:val="nil"/>
          <w:between w:val="nil"/>
        </w:pBdr>
        <w:spacing w:before="120" w:after="120"/>
        <w:rPr>
          <w:sz w:val="24"/>
          <w:szCs w:val="24"/>
          <w:lang w:val="de-DE"/>
        </w:rPr>
      </w:pPr>
      <w:r w:rsidRPr="005E5914">
        <w:rPr>
          <w:sz w:val="24"/>
          <w:szCs w:val="24"/>
          <w:lang w:val="de-DE"/>
        </w:rPr>
        <w:t xml:space="preserve">Sie sollten ein </w:t>
      </w:r>
      <w:r w:rsidR="00142496">
        <w:rPr>
          <w:sz w:val="24"/>
          <w:szCs w:val="24"/>
          <w:lang w:val="de-DE"/>
        </w:rPr>
        <w:t>Gespräch darüber beginnen, wie Ihre Lernenden</w:t>
      </w:r>
      <w:r w:rsidRPr="005E5914">
        <w:rPr>
          <w:sz w:val="24"/>
          <w:szCs w:val="24"/>
          <w:lang w:val="de-DE"/>
        </w:rPr>
        <w:t xml:space="preserve"> Ernährungsgewohnheiten wahrnehmen und </w:t>
      </w:r>
      <w:r w:rsidR="004749D4">
        <w:rPr>
          <w:sz w:val="24"/>
          <w:szCs w:val="24"/>
          <w:lang w:val="de-DE"/>
        </w:rPr>
        <w:t xml:space="preserve">diese dann reflektieren. Sprechen Sie auch darüber, </w:t>
      </w:r>
      <w:r w:rsidRPr="005E5914">
        <w:rPr>
          <w:sz w:val="24"/>
          <w:szCs w:val="24"/>
          <w:lang w:val="de-DE"/>
        </w:rPr>
        <w:t xml:space="preserve">ob </w:t>
      </w:r>
      <w:r w:rsidR="004749D4">
        <w:rPr>
          <w:sz w:val="24"/>
          <w:szCs w:val="24"/>
          <w:lang w:val="de-DE"/>
        </w:rPr>
        <w:t xml:space="preserve">und wie </w:t>
      </w:r>
      <w:r w:rsidRPr="005E5914">
        <w:rPr>
          <w:sz w:val="24"/>
          <w:szCs w:val="24"/>
          <w:lang w:val="de-DE"/>
        </w:rPr>
        <w:t xml:space="preserve">sie digitale Mittel nutzen, um Informationen, </w:t>
      </w:r>
      <w:r w:rsidR="004749D4">
        <w:rPr>
          <w:sz w:val="24"/>
          <w:szCs w:val="24"/>
          <w:lang w:val="de-DE"/>
        </w:rPr>
        <w:t>Gesundheitst</w:t>
      </w:r>
      <w:r w:rsidRPr="005E5914">
        <w:rPr>
          <w:sz w:val="24"/>
          <w:szCs w:val="24"/>
          <w:lang w:val="de-DE"/>
        </w:rPr>
        <w:t>ipps, Rezepte und Ernährungsberatung zu erhalten.</w:t>
      </w:r>
    </w:p>
    <w:p w14:paraId="5C64CC03" w14:textId="3D9240FD" w:rsidR="005E5914" w:rsidRPr="005E5914" w:rsidRDefault="005E5914" w:rsidP="005E5914">
      <w:pPr>
        <w:pBdr>
          <w:top w:val="nil"/>
          <w:left w:val="nil"/>
          <w:bottom w:val="nil"/>
          <w:right w:val="nil"/>
          <w:between w:val="nil"/>
        </w:pBdr>
        <w:spacing w:before="120" w:after="120"/>
        <w:rPr>
          <w:sz w:val="24"/>
          <w:szCs w:val="24"/>
          <w:lang w:val="de-DE"/>
        </w:rPr>
      </w:pPr>
      <w:r w:rsidRPr="005E5914">
        <w:rPr>
          <w:sz w:val="24"/>
          <w:szCs w:val="24"/>
          <w:lang w:val="de-DE"/>
        </w:rPr>
        <w:t xml:space="preserve">Sie sollten auch ein Gespräch über ihr Wissen über empfohlene Impfungen sowohl in ihrem Herkunftsland als auch im Gastland beginnen und darüber, wie </w:t>
      </w:r>
      <w:r w:rsidR="004749D4">
        <w:rPr>
          <w:sz w:val="24"/>
          <w:szCs w:val="24"/>
          <w:lang w:val="de-DE"/>
        </w:rPr>
        <w:t>sie</w:t>
      </w:r>
      <w:r w:rsidRPr="005E5914">
        <w:rPr>
          <w:sz w:val="24"/>
          <w:szCs w:val="24"/>
          <w:lang w:val="de-DE"/>
        </w:rPr>
        <w:t xml:space="preserve"> das nationale Impfprogramm des Gastlandes sowohl für Kinder/Jugendliche als auch für Erwachsene zu finden.</w:t>
      </w:r>
    </w:p>
    <w:p w14:paraId="124C814A" w14:textId="0507ECF7" w:rsidR="005E5914" w:rsidRPr="005E5914" w:rsidRDefault="005E5914" w:rsidP="005E5914">
      <w:pPr>
        <w:pBdr>
          <w:top w:val="nil"/>
          <w:left w:val="nil"/>
          <w:bottom w:val="nil"/>
          <w:right w:val="nil"/>
          <w:between w:val="nil"/>
        </w:pBdr>
        <w:spacing w:before="120" w:after="120"/>
        <w:rPr>
          <w:sz w:val="24"/>
          <w:szCs w:val="24"/>
          <w:lang w:val="de-DE"/>
        </w:rPr>
      </w:pPr>
      <w:r w:rsidRPr="005E5914">
        <w:rPr>
          <w:sz w:val="24"/>
          <w:szCs w:val="24"/>
          <w:lang w:val="de-DE"/>
        </w:rPr>
        <w:t>Falls Ihre Lerngruppe hauptsächlich aus Frauen besteht, sollten Sie sich auf spezielle Themen wie Gesundheitsprävention für Frauen, Schwangers</w:t>
      </w:r>
      <w:r w:rsidR="004749D4">
        <w:rPr>
          <w:sz w:val="24"/>
          <w:szCs w:val="24"/>
          <w:lang w:val="de-DE"/>
        </w:rPr>
        <w:t>chaft, Baby- und Kinderpflege</w:t>
      </w:r>
      <w:r w:rsidRPr="005E5914">
        <w:rPr>
          <w:sz w:val="24"/>
          <w:szCs w:val="24"/>
          <w:lang w:val="de-DE"/>
        </w:rPr>
        <w:t xml:space="preserve"> konzentrieren, die in den Anhängen des Moduls zu finden sind.</w:t>
      </w:r>
    </w:p>
    <w:p w14:paraId="22025EBD" w14:textId="16A11CB6" w:rsidR="00B83B04" w:rsidRPr="005E5914" w:rsidRDefault="005E5914" w:rsidP="005E5914">
      <w:pPr>
        <w:pBdr>
          <w:top w:val="nil"/>
          <w:left w:val="nil"/>
          <w:bottom w:val="nil"/>
          <w:right w:val="nil"/>
          <w:between w:val="nil"/>
        </w:pBdr>
        <w:spacing w:before="120" w:after="120"/>
        <w:rPr>
          <w:sz w:val="24"/>
          <w:szCs w:val="24"/>
          <w:lang w:val="de-DE"/>
        </w:rPr>
      </w:pPr>
      <w:r w:rsidRPr="005E5914">
        <w:rPr>
          <w:sz w:val="24"/>
          <w:szCs w:val="24"/>
          <w:lang w:val="de-DE"/>
        </w:rPr>
        <w:t>Falls in Ihrer Lerngruppe ein besonderes Interesse an psychischer Gesundheit besteht, enthält das Training einige Materialien zur Erkennung von psychischen Problemen und zum Aufbau von psychischer Widerstandskraft, die ebenfalls in den Anhängen zu finden sind.</w:t>
      </w:r>
    </w:p>
    <w:p w14:paraId="3DD73D1F" w14:textId="77777777" w:rsidR="005E5914" w:rsidRPr="005E5914" w:rsidRDefault="005E5914" w:rsidP="005E591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lang w:val="de-DE"/>
        </w:rPr>
      </w:pPr>
    </w:p>
    <w:p w14:paraId="4FF92C23" w14:textId="7B11C228" w:rsidR="00B83B04" w:rsidRDefault="00BC77F7">
      <w:pPr>
        <w:pStyle w:val="2"/>
      </w:pPr>
      <w:bookmarkStart w:id="6" w:name="_Toc104125405"/>
      <w:r>
        <w:t>2.5 Refer</w:t>
      </w:r>
      <w:r w:rsidR="005E5914">
        <w:t>enzen</w:t>
      </w:r>
      <w:bookmarkEnd w:id="6"/>
    </w:p>
    <w:p w14:paraId="251F0C63" w14:textId="77777777" w:rsidR="00B83B04" w:rsidRDefault="00B83B04">
      <w:pPr>
        <w:pBdr>
          <w:top w:val="nil"/>
          <w:left w:val="nil"/>
          <w:bottom w:val="nil"/>
          <w:right w:val="nil"/>
          <w:between w:val="nil"/>
        </w:pBdr>
      </w:pPr>
    </w:p>
    <w:p w14:paraId="584F00D5" w14:textId="5914B2C0" w:rsidR="004749D4" w:rsidRPr="004749D4" w:rsidRDefault="004749D4">
      <w:pPr>
        <w:pBdr>
          <w:top w:val="nil"/>
          <w:left w:val="nil"/>
          <w:bottom w:val="nil"/>
          <w:right w:val="nil"/>
          <w:between w:val="nil"/>
        </w:pBdr>
        <w:rPr>
          <w:lang w:val="de-DE"/>
        </w:rPr>
      </w:pPr>
      <w:r w:rsidRPr="004749D4">
        <w:rPr>
          <w:lang w:val="de-DE"/>
        </w:rPr>
        <w:t xml:space="preserve">Zur weiteren </w:t>
      </w:r>
      <w:r>
        <w:rPr>
          <w:lang w:val="de-DE"/>
        </w:rPr>
        <w:t>Vertiefung</w:t>
      </w:r>
      <w:r w:rsidRPr="004749D4">
        <w:rPr>
          <w:lang w:val="de-DE"/>
        </w:rPr>
        <w:t xml:space="preserve"> wird die folgende Literatur empfohlen</w:t>
      </w:r>
      <w:r>
        <w:rPr>
          <w:lang w:val="de-DE"/>
        </w:rPr>
        <w:t>, die teilweise auch in deutschen Übersetzungen vorliegt</w:t>
      </w:r>
      <w:r w:rsidRPr="004749D4">
        <w:rPr>
          <w:lang w:val="de-DE"/>
        </w:rPr>
        <w:t>:</w:t>
      </w:r>
    </w:p>
    <w:p w14:paraId="155F7049" w14:textId="69DFD51A" w:rsidR="00B83B04" w:rsidRDefault="00BC77F7">
      <w:pPr>
        <w:pBdr>
          <w:top w:val="nil"/>
          <w:left w:val="nil"/>
          <w:bottom w:val="nil"/>
          <w:right w:val="nil"/>
          <w:between w:val="nil"/>
        </w:pBdr>
      </w:pPr>
      <w:r>
        <w:t>Bryce, E., Mullany, L.C., Khatry, S.K. et al. 2020. Coverage of the WHO’s four essential elements of newborn care and their association with neonatal survival in southern Nepal. BMC Pregnancy Childbirth 20, 540 https://doi.org/10.1186/s12884-020-03239-6</w:t>
      </w:r>
    </w:p>
    <w:p w14:paraId="09636C47" w14:textId="77777777" w:rsidR="00B83B04" w:rsidRDefault="00BC77F7">
      <w:pPr>
        <w:pBdr>
          <w:top w:val="nil"/>
          <w:left w:val="nil"/>
          <w:bottom w:val="nil"/>
          <w:right w:val="nil"/>
          <w:between w:val="nil"/>
        </w:pBdr>
      </w:pPr>
      <w:r>
        <w:t>Carr T.P et al. 2016. Advanced Nutrition and Human Metabolism. Cengage Learning.</w:t>
      </w:r>
    </w:p>
    <w:p w14:paraId="463D8568" w14:textId="77777777" w:rsidR="00B83B04" w:rsidRDefault="00BC77F7">
      <w:pPr>
        <w:pBdr>
          <w:top w:val="nil"/>
          <w:left w:val="nil"/>
          <w:bottom w:val="nil"/>
          <w:right w:val="nil"/>
          <w:between w:val="nil"/>
        </w:pBdr>
        <w:jc w:val="left"/>
      </w:pPr>
      <w:r>
        <w:t>Center for Disease Control and Prevention (CDC) n.d.  https://www.cdc.gov/ncbddd/birthdefects/prevention.html </w:t>
      </w:r>
    </w:p>
    <w:p w14:paraId="4133C7AA" w14:textId="77777777" w:rsidR="00B83B04" w:rsidRDefault="00BC77F7">
      <w:pPr>
        <w:pBdr>
          <w:top w:val="nil"/>
          <w:left w:val="nil"/>
          <w:bottom w:val="nil"/>
          <w:right w:val="nil"/>
          <w:between w:val="nil"/>
        </w:pBdr>
        <w:jc w:val="left"/>
      </w:pPr>
      <w:r>
        <w:t xml:space="preserve">European Commission. 2020. The health benefits of vaccination. https://ec.europa.eu/commission/presscorner/detail/en/fs_20_2364. </w:t>
      </w:r>
    </w:p>
    <w:p w14:paraId="7A7F9946" w14:textId="77777777" w:rsidR="00B83B04" w:rsidRDefault="00BC77F7">
      <w:pPr>
        <w:pBdr>
          <w:top w:val="nil"/>
          <w:left w:val="nil"/>
          <w:bottom w:val="nil"/>
          <w:right w:val="nil"/>
          <w:between w:val="nil"/>
        </w:pBdr>
        <w:jc w:val="left"/>
      </w:pPr>
      <w:r>
        <w:t xml:space="preserve">European Parliament, Directorate General for Internal Policy. 2017. Research for CULT–Committee. Why Cultural Work with Refugees. Retrieved from: </w:t>
      </w:r>
      <w:hyperlink r:id="rId24">
        <w:r>
          <w:rPr>
            <w:color w:val="0563C1"/>
            <w:u w:val="single"/>
          </w:rPr>
          <w:t>http://www.europarl.europa.eu/RegData/etudes/IDAN/2017/602004/IPOL_IDA(2017)602004_EN.pdf</w:t>
        </w:r>
      </w:hyperlink>
    </w:p>
    <w:p w14:paraId="0C280E71" w14:textId="77777777" w:rsidR="00B83B04" w:rsidRDefault="00BC77F7">
      <w:pPr>
        <w:pBdr>
          <w:top w:val="nil"/>
          <w:left w:val="nil"/>
          <w:bottom w:val="nil"/>
          <w:right w:val="nil"/>
          <w:between w:val="nil"/>
        </w:pBdr>
      </w:pPr>
      <w:r>
        <w:t>European Centre for Disease Prevention and Control. 2020. Guidance on infection prevention and control of coronavirus disease (COVID-19) in migrant and refugee reception and detention centres in the EU/EEA and the United Kingdom</w:t>
      </w:r>
    </w:p>
    <w:p w14:paraId="77BEA9D6" w14:textId="77777777" w:rsidR="00B83B04" w:rsidRDefault="00BC77F7">
      <w:pPr>
        <w:pBdr>
          <w:top w:val="nil"/>
          <w:left w:val="nil"/>
          <w:bottom w:val="nil"/>
          <w:right w:val="nil"/>
          <w:between w:val="nil"/>
        </w:pBdr>
      </w:pPr>
      <w:r>
        <w:t xml:space="preserve">International Scientific Forum on Home Hygiene. 2018. Containing the burden of infectious diseases is everyone’s responsibility: A call for an integrated strategy for developing and promoting hygiene behaviour change in home and everyday life [White Paper]. https://www.ifh-homehygiene.org/sites/default/files/publications/IFH%20White%20Paper-10-18.pdf. </w:t>
      </w:r>
    </w:p>
    <w:p w14:paraId="68867E0F" w14:textId="77777777" w:rsidR="00B83B04" w:rsidRDefault="00BC77F7">
      <w:pPr>
        <w:pBdr>
          <w:top w:val="nil"/>
          <w:left w:val="nil"/>
          <w:bottom w:val="nil"/>
          <w:right w:val="nil"/>
          <w:between w:val="nil"/>
        </w:pBdr>
        <w:jc w:val="left"/>
      </w:pPr>
      <w:r>
        <w:t>John Hopkins Medicine. n.d. </w:t>
      </w:r>
      <w:hyperlink r:id="rId25">
        <w:r>
          <w:rPr>
            <w:color w:val="0563C1"/>
            <w:u w:val="single"/>
          </w:rPr>
          <w:t>https://www.hopkinsmedicine.org/health/treatment-tests-and-therapies/screening-tests-for-common-diseases</w:t>
        </w:r>
      </w:hyperlink>
      <w:r>
        <w:t> </w:t>
      </w:r>
    </w:p>
    <w:p w14:paraId="0A9F0774" w14:textId="77777777" w:rsidR="00B83B04" w:rsidRDefault="00BC77F7">
      <w:pPr>
        <w:pBdr>
          <w:top w:val="nil"/>
          <w:left w:val="nil"/>
          <w:bottom w:val="nil"/>
          <w:right w:val="nil"/>
          <w:between w:val="nil"/>
        </w:pBdr>
        <w:jc w:val="left"/>
      </w:pPr>
      <w:r>
        <w:t>Johns Hopkins Medicine. n.d. - </w:t>
      </w:r>
      <w:hyperlink r:id="rId26">
        <w:r>
          <w:rPr>
            <w:color w:val="0563C1"/>
            <w:u w:val="single"/>
          </w:rPr>
          <w:t>https://www.hopkinsmedicine.org/health/wellness-and-prevention/abcs-of-eating-smart-for-a-healthy-heart</w:t>
        </w:r>
      </w:hyperlink>
    </w:p>
    <w:p w14:paraId="11EDA63D" w14:textId="77777777" w:rsidR="00B83B04" w:rsidRPr="00F07AE0" w:rsidRDefault="00BC77F7">
      <w:pPr>
        <w:pBdr>
          <w:top w:val="nil"/>
          <w:left w:val="nil"/>
          <w:bottom w:val="nil"/>
          <w:right w:val="nil"/>
          <w:between w:val="nil"/>
        </w:pBdr>
        <w:rPr>
          <w:lang w:val="de-DE"/>
        </w:rPr>
      </w:pPr>
      <w:r>
        <w:lastRenderedPageBreak/>
        <w:t>John Hopkins Medicine .n.d. Malnutrition. </w:t>
      </w:r>
      <w:hyperlink r:id="rId27">
        <w:r w:rsidRPr="00F07AE0">
          <w:rPr>
            <w:color w:val="0563C1"/>
            <w:u w:val="single"/>
            <w:lang w:val="de-DE"/>
          </w:rPr>
          <w:t>https://www.hopkinsmedicine.org/health/conditions-and-diseases/malnutrition</w:t>
        </w:r>
      </w:hyperlink>
    </w:p>
    <w:p w14:paraId="650F355E" w14:textId="77777777" w:rsidR="00B83B04" w:rsidRDefault="00BC77F7">
      <w:pPr>
        <w:pBdr>
          <w:top w:val="nil"/>
          <w:left w:val="nil"/>
          <w:bottom w:val="nil"/>
          <w:right w:val="nil"/>
          <w:between w:val="nil"/>
        </w:pBdr>
        <w:rPr>
          <w:color w:val="000000"/>
          <w:sz w:val="24"/>
          <w:szCs w:val="24"/>
        </w:rPr>
      </w:pPr>
      <w:r w:rsidRPr="00F07AE0">
        <w:rPr>
          <w:color w:val="000000"/>
          <w:sz w:val="24"/>
          <w:szCs w:val="24"/>
          <w:lang w:val="de-DE"/>
        </w:rPr>
        <w:t>Matlin, S.A., Depoux, A., Schütte, S. </w:t>
      </w:r>
      <w:r w:rsidRPr="00F07AE0">
        <w:rPr>
          <w:i/>
          <w:color w:val="000000"/>
          <w:sz w:val="24"/>
          <w:szCs w:val="24"/>
          <w:lang w:val="de-DE"/>
        </w:rPr>
        <w:t>et al.</w:t>
      </w:r>
      <w:r w:rsidRPr="00F07AE0">
        <w:rPr>
          <w:color w:val="000000"/>
          <w:sz w:val="24"/>
          <w:szCs w:val="24"/>
          <w:lang w:val="de-DE"/>
        </w:rPr>
        <w:t xml:space="preserve"> 2018. </w:t>
      </w:r>
      <w:r>
        <w:rPr>
          <w:color w:val="000000"/>
          <w:sz w:val="24"/>
          <w:szCs w:val="24"/>
        </w:rPr>
        <w:t>Migrants’ and refugees’ health: towards an agenda of solutions. </w:t>
      </w:r>
      <w:r>
        <w:rPr>
          <w:i/>
          <w:color w:val="000000"/>
          <w:sz w:val="24"/>
          <w:szCs w:val="24"/>
        </w:rPr>
        <w:t>Public Health Rev</w:t>
      </w:r>
      <w:r>
        <w:rPr>
          <w:color w:val="000000"/>
          <w:sz w:val="24"/>
          <w:szCs w:val="24"/>
        </w:rPr>
        <w:t> 39,</w:t>
      </w:r>
      <w:r>
        <w:rPr>
          <w:b/>
          <w:color w:val="000000"/>
          <w:sz w:val="24"/>
          <w:szCs w:val="24"/>
        </w:rPr>
        <w:t> </w:t>
      </w:r>
      <w:r>
        <w:rPr>
          <w:color w:val="000000"/>
          <w:sz w:val="24"/>
          <w:szCs w:val="24"/>
        </w:rPr>
        <w:t xml:space="preserve">27. https://doi.org/10.1186/s40985-018-0104-9 </w:t>
      </w:r>
    </w:p>
    <w:p w14:paraId="137F54BB" w14:textId="77777777" w:rsidR="00B83B04" w:rsidRDefault="00BC77F7">
      <w:pPr>
        <w:pBdr>
          <w:top w:val="nil"/>
          <w:left w:val="nil"/>
          <w:bottom w:val="nil"/>
          <w:right w:val="nil"/>
          <w:between w:val="nil"/>
        </w:pBdr>
        <w:rPr>
          <w:color w:val="000000"/>
          <w:sz w:val="24"/>
          <w:szCs w:val="24"/>
        </w:rPr>
      </w:pPr>
      <w:r>
        <w:rPr>
          <w:color w:val="000000"/>
          <w:sz w:val="24"/>
          <w:szCs w:val="24"/>
        </w:rPr>
        <w:t>National Institute on Alcohol Abuse and Alcoholism. 2007. - Alcohol and Tobacco </w:t>
      </w:r>
      <w:hyperlink r:id="rId28">
        <w:r>
          <w:rPr>
            <w:color w:val="0563C1"/>
            <w:sz w:val="24"/>
            <w:szCs w:val="24"/>
            <w:u w:val="single"/>
          </w:rPr>
          <w:t>https://pubs.niaaa.nih.gov/publications/aa71/aa71.htm</w:t>
        </w:r>
      </w:hyperlink>
      <w:r>
        <w:rPr>
          <w:color w:val="000000"/>
          <w:sz w:val="24"/>
          <w:szCs w:val="24"/>
        </w:rPr>
        <w:t xml:space="preserve">. </w:t>
      </w:r>
    </w:p>
    <w:p w14:paraId="16E24DE5" w14:textId="77777777" w:rsidR="00B83B04" w:rsidRDefault="00BC77F7">
      <w:pPr>
        <w:pBdr>
          <w:top w:val="nil"/>
          <w:left w:val="nil"/>
          <w:bottom w:val="nil"/>
          <w:right w:val="nil"/>
          <w:between w:val="nil"/>
        </w:pBdr>
        <w:rPr>
          <w:color w:val="000000"/>
          <w:sz w:val="24"/>
          <w:szCs w:val="24"/>
        </w:rPr>
      </w:pPr>
      <w:r>
        <w:rPr>
          <w:color w:val="000000"/>
          <w:sz w:val="24"/>
          <w:szCs w:val="24"/>
        </w:rPr>
        <w:t xml:space="preserve">NSW Refugee Health Service and STARTTS (NSW Service for the Treatment and Rehabilitation of Torture and Trauma Survivors). 2014. </w:t>
      </w:r>
      <w:r>
        <w:rPr>
          <w:i/>
          <w:color w:val="000000"/>
          <w:sz w:val="24"/>
          <w:szCs w:val="24"/>
        </w:rPr>
        <w:t>Working with refugees: a guide for social workers</w:t>
      </w:r>
      <w:r>
        <w:rPr>
          <w:color w:val="000000"/>
          <w:sz w:val="24"/>
          <w:szCs w:val="24"/>
        </w:rPr>
        <w:t xml:space="preserve">. Retrieved from: </w:t>
      </w:r>
      <w:hyperlink r:id="rId29">
        <w:r>
          <w:rPr>
            <w:color w:val="0563C1"/>
            <w:sz w:val="24"/>
            <w:szCs w:val="24"/>
            <w:u w:val="single"/>
          </w:rPr>
          <w:t>https://www.startts.org.au/media/Resource-Working-with-Refugees-Social-Worker-Guide.pdf</w:t>
        </w:r>
      </w:hyperlink>
    </w:p>
    <w:p w14:paraId="02D31A5E" w14:textId="77777777" w:rsidR="00B83B04" w:rsidRDefault="00BC77F7">
      <w:pPr>
        <w:pBdr>
          <w:top w:val="nil"/>
          <w:left w:val="nil"/>
          <w:bottom w:val="nil"/>
          <w:right w:val="nil"/>
          <w:between w:val="nil"/>
        </w:pBdr>
        <w:rPr>
          <w:color w:val="000000"/>
          <w:sz w:val="24"/>
          <w:szCs w:val="24"/>
        </w:rPr>
      </w:pPr>
      <w:r>
        <w:rPr>
          <w:color w:val="000000"/>
          <w:sz w:val="24"/>
          <w:szCs w:val="24"/>
        </w:rPr>
        <w:t xml:space="preserve">P.J. Shannon, E. Wieling, J.Simmelink-McCleary, E. Becher. 2014. </w:t>
      </w:r>
      <w:r>
        <w:rPr>
          <w:i/>
          <w:color w:val="000000"/>
          <w:sz w:val="24"/>
          <w:szCs w:val="24"/>
        </w:rPr>
        <w:t>Beyond Stigma: Barriers to Discussing Mental Health in Refugee Populations</w:t>
      </w:r>
      <w:r>
        <w:rPr>
          <w:color w:val="000000"/>
          <w:sz w:val="24"/>
          <w:szCs w:val="24"/>
        </w:rPr>
        <w:t>, Journal of Loss and Trauma International Perspectives on Stress &amp; Coping, Taylor and Francis Online.</w:t>
      </w:r>
    </w:p>
    <w:p w14:paraId="77A74942" w14:textId="77777777" w:rsidR="00B83B04" w:rsidRDefault="00BC77F7">
      <w:pPr>
        <w:pBdr>
          <w:top w:val="nil"/>
          <w:left w:val="nil"/>
          <w:bottom w:val="nil"/>
          <w:right w:val="nil"/>
          <w:between w:val="nil"/>
        </w:pBdr>
        <w:rPr>
          <w:color w:val="000000"/>
          <w:sz w:val="24"/>
          <w:szCs w:val="24"/>
        </w:rPr>
      </w:pPr>
      <w:r>
        <w:rPr>
          <w:color w:val="000000"/>
          <w:sz w:val="24"/>
          <w:szCs w:val="24"/>
        </w:rPr>
        <w:t>Saunders J, Smith T. 2010, Malnutrition: causes and consequences. Clin Med. 2010;10(6):624-627. doi:10.7861/clinmedicine.10-6-624</w:t>
      </w:r>
    </w:p>
    <w:p w14:paraId="67B26343" w14:textId="77777777" w:rsidR="00B83B04" w:rsidRDefault="00BC77F7">
      <w:pPr>
        <w:pBdr>
          <w:top w:val="nil"/>
          <w:left w:val="nil"/>
          <w:bottom w:val="nil"/>
          <w:right w:val="nil"/>
          <w:between w:val="nil"/>
        </w:pBdr>
        <w:spacing w:line="276" w:lineRule="auto"/>
        <w:jc w:val="left"/>
        <w:rPr>
          <w:color w:val="000000"/>
          <w:sz w:val="24"/>
          <w:szCs w:val="24"/>
        </w:rPr>
      </w:pPr>
      <w:r>
        <w:rPr>
          <w:color w:val="000000"/>
          <w:sz w:val="24"/>
          <w:szCs w:val="24"/>
        </w:rPr>
        <w:t>WHO. n.d. Chapter 8 - Personal, domestic and community hygiene.</w:t>
      </w:r>
    </w:p>
    <w:p w14:paraId="4196DCAD" w14:textId="77777777" w:rsidR="00B83B04" w:rsidRDefault="00BC77F7">
      <w:pPr>
        <w:pBdr>
          <w:top w:val="nil"/>
          <w:left w:val="nil"/>
          <w:bottom w:val="nil"/>
          <w:right w:val="nil"/>
          <w:between w:val="nil"/>
        </w:pBdr>
        <w:spacing w:line="276" w:lineRule="auto"/>
        <w:jc w:val="left"/>
        <w:rPr>
          <w:color w:val="000000"/>
          <w:sz w:val="24"/>
          <w:szCs w:val="24"/>
        </w:rPr>
      </w:pPr>
      <w:r>
        <w:rPr>
          <w:color w:val="000000"/>
          <w:sz w:val="24"/>
          <w:szCs w:val="24"/>
        </w:rPr>
        <w:t> </w:t>
      </w:r>
      <w:hyperlink r:id="rId30">
        <w:r>
          <w:rPr>
            <w:color w:val="0563C1"/>
            <w:sz w:val="24"/>
            <w:szCs w:val="24"/>
            <w:u w:val="single"/>
          </w:rPr>
          <w:t>https://www.who.int/water_sanitation_health/hygiene/settings/hvchap8.pdf</w:t>
        </w:r>
      </w:hyperlink>
    </w:p>
    <w:p w14:paraId="539CC2CC" w14:textId="77777777" w:rsidR="00B83B04" w:rsidRDefault="00BC77F7">
      <w:pPr>
        <w:pBdr>
          <w:top w:val="nil"/>
          <w:left w:val="nil"/>
          <w:bottom w:val="nil"/>
          <w:right w:val="nil"/>
          <w:between w:val="nil"/>
        </w:pBdr>
        <w:jc w:val="left"/>
        <w:rPr>
          <w:color w:val="000000"/>
          <w:sz w:val="24"/>
          <w:szCs w:val="24"/>
        </w:rPr>
      </w:pPr>
      <w:r>
        <w:rPr>
          <w:color w:val="000000"/>
          <w:sz w:val="24"/>
          <w:szCs w:val="24"/>
        </w:rPr>
        <w:t xml:space="preserve">WHO. n.d. Migration and Health: Key Issues.  </w:t>
      </w:r>
      <w:hyperlink r:id="rId31">
        <w:r>
          <w:rPr>
            <w:color w:val="0563C1"/>
            <w:sz w:val="24"/>
            <w:szCs w:val="24"/>
            <w:u w:val="single"/>
          </w:rPr>
          <w:t xml:space="preserve">https://www.euro.who.int/__data/assets/pdf_file/0005/293270/Migration-Health-Key-Issues-.pdf </w:t>
        </w:r>
      </w:hyperlink>
    </w:p>
    <w:p w14:paraId="3FE9DFCE" w14:textId="77777777" w:rsidR="00B83B04" w:rsidRDefault="00BC77F7">
      <w:pPr>
        <w:pBdr>
          <w:top w:val="nil"/>
          <w:left w:val="nil"/>
          <w:bottom w:val="nil"/>
          <w:right w:val="nil"/>
          <w:between w:val="nil"/>
        </w:pBdr>
        <w:jc w:val="left"/>
        <w:rPr>
          <w:color w:val="000000"/>
          <w:sz w:val="24"/>
          <w:szCs w:val="24"/>
        </w:rPr>
      </w:pPr>
      <w:bookmarkStart w:id="7" w:name="_heading=h.35nkun2" w:colFirst="0" w:colLast="0"/>
      <w:bookmarkEnd w:id="7"/>
      <w:r>
        <w:rPr>
          <w:color w:val="000000"/>
          <w:sz w:val="24"/>
          <w:szCs w:val="24"/>
        </w:rPr>
        <w:t xml:space="preserve">WHO. 2013. Vaccine Safety Basics: Learning Manual. SAFETY. </w:t>
      </w:r>
      <w:hyperlink r:id="rId32">
        <w:r>
          <w:rPr>
            <w:color w:val="0563C1"/>
            <w:sz w:val="24"/>
            <w:szCs w:val="24"/>
            <w:u w:val="single"/>
          </w:rPr>
          <w:t>https://www.who.int/vaccine_safety/initiative/tech_support/Vaccine-safety-E-course-manual.pdf</w:t>
        </w:r>
      </w:hyperlink>
      <w:r>
        <w:rPr>
          <w:color w:val="000000"/>
          <w:sz w:val="24"/>
          <w:szCs w:val="24"/>
        </w:rPr>
        <w:t xml:space="preserve"> </w:t>
      </w:r>
    </w:p>
    <w:p w14:paraId="0A3BB78F" w14:textId="77777777" w:rsidR="00B83B04" w:rsidRDefault="00BC77F7">
      <w:pPr>
        <w:pBdr>
          <w:top w:val="nil"/>
          <w:left w:val="nil"/>
          <w:bottom w:val="nil"/>
          <w:right w:val="nil"/>
          <w:between w:val="nil"/>
        </w:pBdr>
        <w:rPr>
          <w:color w:val="000000"/>
          <w:sz w:val="24"/>
          <w:szCs w:val="24"/>
        </w:rPr>
      </w:pPr>
      <w:r>
        <w:rPr>
          <w:color w:val="000000"/>
          <w:sz w:val="24"/>
          <w:szCs w:val="24"/>
        </w:rPr>
        <w:t>WHO. 2018. Nutrition. </w:t>
      </w:r>
      <w:hyperlink r:id="rId33">
        <w:r>
          <w:rPr>
            <w:color w:val="0563C1"/>
            <w:sz w:val="24"/>
            <w:szCs w:val="24"/>
            <w:u w:val="single"/>
          </w:rPr>
          <w:t>https://www.who.int/news-room/facts-in-pictures/detail/nutrition</w:t>
        </w:r>
      </w:hyperlink>
    </w:p>
    <w:p w14:paraId="2FFD94A2" w14:textId="77777777" w:rsidR="00B83B04" w:rsidRPr="00F07AE0" w:rsidRDefault="00BC77F7">
      <w:pPr>
        <w:pBdr>
          <w:top w:val="nil"/>
          <w:left w:val="nil"/>
          <w:bottom w:val="nil"/>
          <w:right w:val="nil"/>
          <w:between w:val="nil"/>
        </w:pBdr>
        <w:rPr>
          <w:color w:val="000000"/>
          <w:sz w:val="24"/>
          <w:szCs w:val="24"/>
          <w:lang w:val="de-DE"/>
        </w:rPr>
      </w:pPr>
      <w:r>
        <w:rPr>
          <w:color w:val="000000"/>
          <w:sz w:val="24"/>
          <w:szCs w:val="24"/>
        </w:rPr>
        <w:t xml:space="preserve">WHO. 2018. Report on the health of refugees and migrants in the WHO European Region: no public health without refugee and migrant health. </w:t>
      </w:r>
      <w:r w:rsidRPr="00F07AE0">
        <w:rPr>
          <w:color w:val="000000"/>
          <w:sz w:val="24"/>
          <w:szCs w:val="24"/>
          <w:lang w:val="de-DE"/>
        </w:rPr>
        <w:t xml:space="preserve">ISBN 978 92 890 5384 6. </w:t>
      </w:r>
      <w:hyperlink r:id="rId34">
        <w:r w:rsidRPr="00F07AE0">
          <w:rPr>
            <w:color w:val="0563C1"/>
            <w:sz w:val="24"/>
            <w:szCs w:val="24"/>
            <w:u w:val="single"/>
            <w:lang w:val="de-DE"/>
          </w:rPr>
          <w:t>https://www.euro.who.int/en/health-topics/health-determinants/migration-and-</w:t>
        </w:r>
        <w:r w:rsidRPr="00F07AE0">
          <w:rPr>
            <w:color w:val="0563C1"/>
            <w:sz w:val="24"/>
            <w:szCs w:val="24"/>
            <w:u w:val="single"/>
            <w:lang w:val="de-DE"/>
          </w:rPr>
          <w:lastRenderedPageBreak/>
          <w:t>health/publications/2018/report-on-the-health-of-refugees-and-migrants-in-the-who-european-region-no-public-health-without-refugee-and-migrant-health-2018</w:t>
        </w:r>
      </w:hyperlink>
      <w:r w:rsidRPr="00F07AE0">
        <w:rPr>
          <w:color w:val="000000"/>
          <w:sz w:val="24"/>
          <w:szCs w:val="24"/>
          <w:lang w:val="de-DE"/>
        </w:rPr>
        <w:t xml:space="preserve"> </w:t>
      </w:r>
    </w:p>
    <w:p w14:paraId="2E3BE0B9" w14:textId="77777777" w:rsidR="00B83B04" w:rsidRDefault="00BC77F7">
      <w:pPr>
        <w:pBdr>
          <w:top w:val="nil"/>
          <w:left w:val="nil"/>
          <w:bottom w:val="nil"/>
          <w:right w:val="nil"/>
          <w:between w:val="nil"/>
        </w:pBdr>
        <w:rPr>
          <w:color w:val="000000"/>
          <w:sz w:val="24"/>
          <w:szCs w:val="24"/>
        </w:rPr>
      </w:pPr>
      <w:r>
        <w:rPr>
          <w:color w:val="000000"/>
          <w:sz w:val="24"/>
          <w:szCs w:val="24"/>
        </w:rPr>
        <w:t xml:space="preserve">WHO. 2019. </w:t>
      </w:r>
      <w:hyperlink r:id="rId35">
        <w:r>
          <w:rPr>
            <w:color w:val="0563C1"/>
            <w:sz w:val="24"/>
            <w:szCs w:val="24"/>
            <w:u w:val="single"/>
          </w:rPr>
          <w:t>https://www.who.int/news-room/facts-in-pictures/detail/immunization</w:t>
        </w:r>
      </w:hyperlink>
    </w:p>
    <w:p w14:paraId="4A28D2D4" w14:textId="77777777" w:rsidR="00B83B04" w:rsidRDefault="00BC77F7">
      <w:pPr>
        <w:pBdr>
          <w:top w:val="nil"/>
          <w:left w:val="nil"/>
          <w:bottom w:val="nil"/>
          <w:right w:val="nil"/>
          <w:between w:val="nil"/>
        </w:pBdr>
        <w:rPr>
          <w:color w:val="000000"/>
          <w:sz w:val="24"/>
          <w:szCs w:val="24"/>
        </w:rPr>
      </w:pPr>
      <w:r>
        <w:rPr>
          <w:color w:val="000000"/>
          <w:sz w:val="24"/>
          <w:szCs w:val="24"/>
        </w:rPr>
        <w:t>WHO. 2019. Vaccines and immunizations. </w:t>
      </w:r>
      <w:hyperlink r:id="rId36">
        <w:r>
          <w:rPr>
            <w:color w:val="0563C1"/>
            <w:sz w:val="24"/>
            <w:szCs w:val="24"/>
            <w:u w:val="single"/>
          </w:rPr>
          <w:t>https://www.who.int/health-topics/vaccines-and-immunization#tab=tab_1</w:t>
        </w:r>
      </w:hyperlink>
    </w:p>
    <w:p w14:paraId="1B2CDCA5" w14:textId="77777777" w:rsidR="00B83B04" w:rsidRDefault="00BC77F7">
      <w:pPr>
        <w:pBdr>
          <w:top w:val="nil"/>
          <w:left w:val="nil"/>
          <w:bottom w:val="nil"/>
          <w:right w:val="nil"/>
          <w:between w:val="nil"/>
        </w:pBdr>
        <w:rPr>
          <w:color w:val="000000"/>
          <w:sz w:val="24"/>
          <w:szCs w:val="24"/>
        </w:rPr>
      </w:pPr>
      <w:r>
        <w:rPr>
          <w:color w:val="000000"/>
          <w:sz w:val="24"/>
          <w:szCs w:val="24"/>
        </w:rPr>
        <w:t xml:space="preserve">WHO. 2021. Vaccines and immunization: What is vaccination? https://www.who.int/news-room/questions-and-answers/item/vaccines-and-immunization-what-is-vaccination. </w:t>
      </w:r>
    </w:p>
    <w:p w14:paraId="23196050" w14:textId="77777777" w:rsidR="00B83B04" w:rsidRDefault="00BC77F7">
      <w:pPr>
        <w:pBdr>
          <w:top w:val="nil"/>
          <w:left w:val="nil"/>
          <w:bottom w:val="nil"/>
          <w:right w:val="nil"/>
          <w:between w:val="nil"/>
        </w:pBdr>
        <w:rPr>
          <w:color w:val="000000"/>
          <w:sz w:val="24"/>
          <w:szCs w:val="24"/>
        </w:rPr>
      </w:pPr>
      <w:r>
        <w:rPr>
          <w:color w:val="000000"/>
          <w:sz w:val="24"/>
          <w:szCs w:val="24"/>
        </w:rPr>
        <w:t>UNICEF. 2020. Immunization. </w:t>
      </w:r>
      <w:hyperlink r:id="rId37">
        <w:r>
          <w:rPr>
            <w:color w:val="0563C1"/>
            <w:sz w:val="24"/>
            <w:szCs w:val="24"/>
            <w:u w:val="single"/>
          </w:rPr>
          <w:t>https://www.unicef.org/eca/health/immunization</w:t>
        </w:r>
      </w:hyperlink>
      <w:r>
        <w:rPr>
          <w:color w:val="000000"/>
          <w:sz w:val="24"/>
          <w:szCs w:val="24"/>
        </w:rPr>
        <w:t xml:space="preserve">. </w:t>
      </w:r>
    </w:p>
    <w:p w14:paraId="1F90A3A6" w14:textId="77777777" w:rsidR="00B83B04" w:rsidRDefault="00BC77F7">
      <w:pPr>
        <w:pBdr>
          <w:top w:val="nil"/>
          <w:left w:val="nil"/>
          <w:bottom w:val="nil"/>
          <w:right w:val="nil"/>
          <w:between w:val="nil"/>
        </w:pBdr>
        <w:rPr>
          <w:color w:val="000000"/>
          <w:sz w:val="24"/>
          <w:szCs w:val="24"/>
        </w:rPr>
      </w:pPr>
      <w:r>
        <w:rPr>
          <w:color w:val="000000"/>
          <w:sz w:val="24"/>
          <w:szCs w:val="24"/>
        </w:rPr>
        <w:t xml:space="preserve">UNHCR. 2015. </w:t>
      </w:r>
      <w:r>
        <w:rPr>
          <w:i/>
          <w:color w:val="000000"/>
          <w:sz w:val="24"/>
          <w:szCs w:val="24"/>
        </w:rPr>
        <w:t>Culture, Context and the Mental Health and Psychosocial Wellbeing of Syrians. A Review for Mental Health and Psychosocial Support staff Working with Syrians Affected by Armed Conflict</w:t>
      </w:r>
      <w:r>
        <w:rPr>
          <w:color w:val="000000"/>
          <w:sz w:val="24"/>
          <w:szCs w:val="24"/>
        </w:rPr>
        <w:t xml:space="preserve">. Retrieved from: </w:t>
      </w:r>
      <w:hyperlink r:id="rId38">
        <w:r>
          <w:rPr>
            <w:color w:val="0563C1"/>
            <w:sz w:val="24"/>
            <w:szCs w:val="24"/>
            <w:u w:val="single"/>
          </w:rPr>
          <w:t>https://www.unhcr.org/55f6b90f9.pdf</w:t>
        </w:r>
      </w:hyperlink>
    </w:p>
    <w:p w14:paraId="0AE2CED5" w14:textId="77777777" w:rsidR="00B83B04" w:rsidRDefault="00BC77F7">
      <w:pPr>
        <w:pBdr>
          <w:top w:val="nil"/>
          <w:left w:val="nil"/>
          <w:bottom w:val="nil"/>
          <w:right w:val="nil"/>
          <w:between w:val="nil"/>
        </w:pBdr>
        <w:rPr>
          <w:color w:val="000000"/>
          <w:sz w:val="24"/>
          <w:szCs w:val="24"/>
        </w:rPr>
      </w:pPr>
      <w:r>
        <w:rPr>
          <w:color w:val="000000"/>
          <w:sz w:val="24"/>
          <w:szCs w:val="24"/>
        </w:rPr>
        <w:t xml:space="preserve">UNHCR, IOM, MHPSS. 2015. </w:t>
      </w:r>
      <w:r>
        <w:rPr>
          <w:i/>
          <w:color w:val="000000"/>
          <w:sz w:val="24"/>
          <w:szCs w:val="24"/>
        </w:rPr>
        <w:t>Mental Health and Psychosocial Support for Refugees, Asylum Seekers and Migrants on the Move in Europe. A multi-agency guidance note</w:t>
      </w:r>
      <w:r>
        <w:rPr>
          <w:color w:val="000000"/>
          <w:sz w:val="24"/>
          <w:szCs w:val="24"/>
        </w:rPr>
        <w:t xml:space="preserve">. Retrieved from: </w:t>
      </w:r>
      <w:hyperlink r:id="rId39">
        <w:r>
          <w:rPr>
            <w:color w:val="0563C1"/>
            <w:sz w:val="24"/>
            <w:szCs w:val="24"/>
            <w:u w:val="single"/>
          </w:rPr>
          <w:t>http://www.euro.who.int/en/health-topics/health-determinants/migration-and-health/publications/2016/mental-health-and-psychosocial-support-for-refugees,-asylum-seekers-and-migrants-on-the-move-in-europe.-a-multi-agency-guidance-note-2015</w:t>
        </w:r>
      </w:hyperlink>
    </w:p>
    <w:p w14:paraId="3A256558" w14:textId="77777777" w:rsidR="00B83B04" w:rsidRDefault="00B83B04">
      <w:pPr>
        <w:pBdr>
          <w:top w:val="nil"/>
          <w:left w:val="nil"/>
          <w:bottom w:val="nil"/>
          <w:right w:val="nil"/>
          <w:between w:val="nil"/>
        </w:pBdr>
        <w:rPr>
          <w:color w:val="000000"/>
          <w:sz w:val="24"/>
          <w:szCs w:val="24"/>
        </w:rPr>
      </w:pPr>
    </w:p>
    <w:p w14:paraId="47ADC200" w14:textId="77777777" w:rsidR="00B83B04" w:rsidRDefault="00B83B04">
      <w:pPr>
        <w:pBdr>
          <w:top w:val="nil"/>
          <w:left w:val="nil"/>
          <w:bottom w:val="nil"/>
          <w:right w:val="nil"/>
          <w:between w:val="nil"/>
        </w:pBdr>
        <w:rPr>
          <w:color w:val="000000"/>
          <w:sz w:val="24"/>
          <w:szCs w:val="24"/>
        </w:rPr>
      </w:pPr>
    </w:p>
    <w:p w14:paraId="6FF85C74" w14:textId="77777777" w:rsidR="00B83B04" w:rsidRDefault="00B83B04">
      <w:pPr>
        <w:pBdr>
          <w:top w:val="nil"/>
          <w:left w:val="nil"/>
          <w:bottom w:val="nil"/>
          <w:right w:val="nil"/>
          <w:between w:val="nil"/>
        </w:pBdr>
        <w:rPr>
          <w:color w:val="000000"/>
          <w:sz w:val="24"/>
          <w:szCs w:val="24"/>
        </w:rPr>
      </w:pPr>
    </w:p>
    <w:p w14:paraId="25FFC1E8" w14:textId="77777777" w:rsidR="00B83B04" w:rsidRDefault="00B83B04">
      <w:pPr>
        <w:pBdr>
          <w:top w:val="nil"/>
          <w:left w:val="nil"/>
          <w:bottom w:val="nil"/>
          <w:right w:val="nil"/>
          <w:between w:val="nil"/>
        </w:pBdr>
        <w:rPr>
          <w:color w:val="000000"/>
          <w:sz w:val="24"/>
          <w:szCs w:val="24"/>
        </w:rPr>
      </w:pPr>
      <w:bookmarkStart w:id="8" w:name="_heading=h.lnxbz9" w:colFirst="0" w:colLast="0"/>
      <w:bookmarkEnd w:id="8"/>
    </w:p>
    <w:sectPr w:rsidR="00B83B04">
      <w:headerReference w:type="default" r:id="rId40"/>
      <w:footerReference w:type="default" r:id="rId41"/>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F44CF" w14:textId="77777777" w:rsidR="000B4649" w:rsidRDefault="000B4649">
      <w:pPr>
        <w:spacing w:after="0" w:line="240" w:lineRule="auto"/>
      </w:pPr>
      <w:r>
        <w:separator/>
      </w:r>
    </w:p>
  </w:endnote>
  <w:endnote w:type="continuationSeparator" w:id="0">
    <w:p w14:paraId="1B001472" w14:textId="77777777" w:rsidR="000B4649" w:rsidRDefault="000B4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C3C58" w14:textId="77777777" w:rsidR="00B83B04" w:rsidRDefault="00B83B04">
    <w:pPr>
      <w:pBdr>
        <w:top w:val="nil"/>
        <w:left w:val="nil"/>
        <w:bottom w:val="nil"/>
        <w:right w:val="nil"/>
        <w:between w:val="nil"/>
      </w:pBdr>
      <w:tabs>
        <w:tab w:val="center" w:pos="4536"/>
        <w:tab w:val="right" w:pos="9072"/>
      </w:tabs>
      <w:spacing w:after="0" w:line="240" w:lineRule="auto"/>
      <w:rPr>
        <w:color w:val="000000"/>
      </w:rPr>
    </w:pPr>
  </w:p>
  <w:p w14:paraId="3A43BBE2" w14:textId="77777777" w:rsidR="00B83B04" w:rsidRDefault="00B83B0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E26F6" w14:textId="77777777" w:rsidR="000B4649" w:rsidRDefault="000B4649">
      <w:pPr>
        <w:spacing w:after="0" w:line="240" w:lineRule="auto"/>
      </w:pPr>
      <w:r>
        <w:separator/>
      </w:r>
    </w:p>
  </w:footnote>
  <w:footnote w:type="continuationSeparator" w:id="0">
    <w:p w14:paraId="28F9F6CA" w14:textId="77777777" w:rsidR="000B4649" w:rsidRDefault="000B4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E0482" w14:textId="730A412F" w:rsidR="00B83B04" w:rsidRDefault="00402CFD" w:rsidP="00402CFD">
    <w:pPr>
      <w:ind w:left="-284"/>
      <w:rPr>
        <w:b/>
        <w:i/>
        <w:sz w:val="24"/>
        <w:szCs w:val="24"/>
      </w:rPr>
    </w:pPr>
    <w:r>
      <w:rPr>
        <w:noProof/>
        <w:lang w:val="de-DE"/>
      </w:rPr>
      <w:drawing>
        <wp:inline distT="0" distB="0" distL="0" distR="0" wp14:anchorId="55185EB1" wp14:editId="294FBCC9">
          <wp:extent cx="2658326" cy="68890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Kofinanzierung_durch_E_RGB.jpg"/>
                  <pic:cNvPicPr/>
                </pic:nvPicPr>
                <pic:blipFill>
                  <a:blip r:embed="rId1">
                    <a:extLst>
                      <a:ext uri="{28A0092B-C50C-407E-A947-70E740481C1C}">
                        <a14:useLocalDpi xmlns:a14="http://schemas.microsoft.com/office/drawing/2010/main" val="0"/>
                      </a:ext>
                    </a:extLst>
                  </a:blip>
                  <a:stretch>
                    <a:fillRect/>
                  </a:stretch>
                </pic:blipFill>
                <pic:spPr>
                  <a:xfrm>
                    <a:off x="0" y="0"/>
                    <a:ext cx="2670163" cy="691971"/>
                  </a:xfrm>
                  <a:prstGeom prst="rect">
                    <a:avLst/>
                  </a:prstGeom>
                </pic:spPr>
              </pic:pic>
            </a:graphicData>
          </a:graphic>
        </wp:inline>
      </w:drawing>
    </w:r>
    <w:r w:rsidR="00BC77F7">
      <w:t xml:space="preserve">                                       </w:t>
    </w:r>
    <w:r w:rsidR="00000000">
      <w:rPr>
        <w:noProof/>
      </w:rPr>
      <w:pict w14:anchorId="26A87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1.5pt;height:42.75pt;mso-width-percent:0;mso-height-percent:0;mso-width-percent:0;mso-height-percent:0">
          <v:imagedata r:id="rId2" o:title="logo-full-700x185"/>
        </v:shape>
      </w:pict>
    </w:r>
    <w:r w:rsidR="00BC77F7">
      <w:br/>
    </w:r>
    <w:r w:rsidR="003A19E1">
      <w:rPr>
        <w:b/>
        <w:i/>
        <w:sz w:val="24"/>
        <w:szCs w:val="24"/>
      </w:rPr>
      <w:t xml:space="preserve">    Projektnummer</w:t>
    </w:r>
    <w:r w:rsidR="00BC77F7">
      <w:rPr>
        <w:b/>
        <w:i/>
        <w:sz w:val="24"/>
        <w:szCs w:val="24"/>
      </w:rPr>
      <w:t xml:space="preserve"> 2020-1-DE02-KA204-007679</w:t>
    </w:r>
  </w:p>
  <w:p w14:paraId="0B2DC13A" w14:textId="77777777" w:rsidR="005C1801" w:rsidRPr="00402CFD" w:rsidRDefault="005C1801" w:rsidP="00402CFD">
    <w:pPr>
      <w:ind w:left="-284"/>
      <w:rPr>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75D6"/>
    <w:multiLevelType w:val="multilevel"/>
    <w:tmpl w:val="A756FF02"/>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56308B0"/>
    <w:multiLevelType w:val="multilevel"/>
    <w:tmpl w:val="F852F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606D57"/>
    <w:multiLevelType w:val="multilevel"/>
    <w:tmpl w:val="FB544FC4"/>
    <w:lvl w:ilvl="0">
      <w:start w:val="1"/>
      <w:numFmt w:val="bullet"/>
      <w:lvlText w:val=""/>
      <w:lvlJc w:val="left"/>
      <w:pPr>
        <w:tabs>
          <w:tab w:val="num" w:pos="770"/>
        </w:tabs>
        <w:ind w:left="770" w:hanging="360"/>
      </w:pPr>
      <w:rPr>
        <w:rFonts w:ascii="Symbol" w:hAnsi="Symbol" w:hint="default"/>
        <w:sz w:val="20"/>
      </w:rPr>
    </w:lvl>
    <w:lvl w:ilvl="1" w:tentative="1">
      <w:start w:val="1"/>
      <w:numFmt w:val="bullet"/>
      <w:lvlText w:val="o"/>
      <w:lvlJc w:val="left"/>
      <w:pPr>
        <w:tabs>
          <w:tab w:val="num" w:pos="1490"/>
        </w:tabs>
        <w:ind w:left="1490" w:hanging="360"/>
      </w:pPr>
      <w:rPr>
        <w:rFonts w:ascii="Courier New" w:hAnsi="Courier New" w:hint="default"/>
        <w:sz w:val="20"/>
      </w:rPr>
    </w:lvl>
    <w:lvl w:ilvl="2" w:tentative="1">
      <w:start w:val="1"/>
      <w:numFmt w:val="bullet"/>
      <w:lvlText w:val=""/>
      <w:lvlJc w:val="left"/>
      <w:pPr>
        <w:tabs>
          <w:tab w:val="num" w:pos="2210"/>
        </w:tabs>
        <w:ind w:left="2210" w:hanging="360"/>
      </w:pPr>
      <w:rPr>
        <w:rFonts w:ascii="Wingdings" w:hAnsi="Wingdings" w:hint="default"/>
        <w:sz w:val="20"/>
      </w:rPr>
    </w:lvl>
    <w:lvl w:ilvl="3" w:tentative="1">
      <w:start w:val="1"/>
      <w:numFmt w:val="bullet"/>
      <w:lvlText w:val=""/>
      <w:lvlJc w:val="left"/>
      <w:pPr>
        <w:tabs>
          <w:tab w:val="num" w:pos="2930"/>
        </w:tabs>
        <w:ind w:left="2930" w:hanging="360"/>
      </w:pPr>
      <w:rPr>
        <w:rFonts w:ascii="Wingdings" w:hAnsi="Wingdings" w:hint="default"/>
        <w:sz w:val="20"/>
      </w:rPr>
    </w:lvl>
    <w:lvl w:ilvl="4" w:tentative="1">
      <w:start w:val="1"/>
      <w:numFmt w:val="bullet"/>
      <w:lvlText w:val=""/>
      <w:lvlJc w:val="left"/>
      <w:pPr>
        <w:tabs>
          <w:tab w:val="num" w:pos="3650"/>
        </w:tabs>
        <w:ind w:left="3650" w:hanging="360"/>
      </w:pPr>
      <w:rPr>
        <w:rFonts w:ascii="Wingdings" w:hAnsi="Wingdings" w:hint="default"/>
        <w:sz w:val="20"/>
      </w:rPr>
    </w:lvl>
    <w:lvl w:ilvl="5" w:tentative="1">
      <w:start w:val="1"/>
      <w:numFmt w:val="bullet"/>
      <w:lvlText w:val=""/>
      <w:lvlJc w:val="left"/>
      <w:pPr>
        <w:tabs>
          <w:tab w:val="num" w:pos="4370"/>
        </w:tabs>
        <w:ind w:left="4370" w:hanging="360"/>
      </w:pPr>
      <w:rPr>
        <w:rFonts w:ascii="Wingdings" w:hAnsi="Wingdings" w:hint="default"/>
        <w:sz w:val="20"/>
      </w:rPr>
    </w:lvl>
    <w:lvl w:ilvl="6" w:tentative="1">
      <w:start w:val="1"/>
      <w:numFmt w:val="bullet"/>
      <w:lvlText w:val=""/>
      <w:lvlJc w:val="left"/>
      <w:pPr>
        <w:tabs>
          <w:tab w:val="num" w:pos="5090"/>
        </w:tabs>
        <w:ind w:left="5090" w:hanging="360"/>
      </w:pPr>
      <w:rPr>
        <w:rFonts w:ascii="Wingdings" w:hAnsi="Wingdings" w:hint="default"/>
        <w:sz w:val="20"/>
      </w:rPr>
    </w:lvl>
    <w:lvl w:ilvl="7" w:tentative="1">
      <w:start w:val="1"/>
      <w:numFmt w:val="bullet"/>
      <w:lvlText w:val=""/>
      <w:lvlJc w:val="left"/>
      <w:pPr>
        <w:tabs>
          <w:tab w:val="num" w:pos="5810"/>
        </w:tabs>
        <w:ind w:left="5810" w:hanging="360"/>
      </w:pPr>
      <w:rPr>
        <w:rFonts w:ascii="Wingdings" w:hAnsi="Wingdings" w:hint="default"/>
        <w:sz w:val="20"/>
      </w:rPr>
    </w:lvl>
    <w:lvl w:ilvl="8" w:tentative="1">
      <w:start w:val="1"/>
      <w:numFmt w:val="bullet"/>
      <w:lvlText w:val=""/>
      <w:lvlJc w:val="left"/>
      <w:pPr>
        <w:tabs>
          <w:tab w:val="num" w:pos="6530"/>
        </w:tabs>
        <w:ind w:left="6530" w:hanging="360"/>
      </w:pPr>
      <w:rPr>
        <w:rFonts w:ascii="Wingdings" w:hAnsi="Wingdings" w:hint="default"/>
        <w:sz w:val="20"/>
      </w:rPr>
    </w:lvl>
  </w:abstractNum>
  <w:abstractNum w:abstractNumId="3" w15:restartNumberingAfterBreak="0">
    <w:nsid w:val="34875CF8"/>
    <w:multiLevelType w:val="multilevel"/>
    <w:tmpl w:val="D7BA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635C70"/>
    <w:multiLevelType w:val="multilevel"/>
    <w:tmpl w:val="16BC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0A5A96"/>
    <w:multiLevelType w:val="multilevel"/>
    <w:tmpl w:val="E096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7222C5"/>
    <w:multiLevelType w:val="hybridMultilevel"/>
    <w:tmpl w:val="2FCAC9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3808287">
    <w:abstractNumId w:val="1"/>
  </w:num>
  <w:num w:numId="2" w16cid:durableId="1265381477">
    <w:abstractNumId w:val="0"/>
  </w:num>
  <w:num w:numId="3" w16cid:durableId="1745831613">
    <w:abstractNumId w:val="6"/>
  </w:num>
  <w:num w:numId="4" w16cid:durableId="568657329">
    <w:abstractNumId w:val="2"/>
  </w:num>
  <w:num w:numId="5" w16cid:durableId="1223440737">
    <w:abstractNumId w:val="5"/>
  </w:num>
  <w:num w:numId="6" w16cid:durableId="2111074142">
    <w:abstractNumId w:val="4"/>
  </w:num>
  <w:num w:numId="7" w16cid:durableId="19771760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B04"/>
    <w:rsid w:val="00092EC4"/>
    <w:rsid w:val="000B4649"/>
    <w:rsid w:val="00142496"/>
    <w:rsid w:val="001446FA"/>
    <w:rsid w:val="001707E9"/>
    <w:rsid w:val="00261C88"/>
    <w:rsid w:val="0037471E"/>
    <w:rsid w:val="003A19E1"/>
    <w:rsid w:val="00402CFD"/>
    <w:rsid w:val="004749D4"/>
    <w:rsid w:val="0050726F"/>
    <w:rsid w:val="00524CF6"/>
    <w:rsid w:val="005C1801"/>
    <w:rsid w:val="005E5914"/>
    <w:rsid w:val="00865112"/>
    <w:rsid w:val="0097087B"/>
    <w:rsid w:val="00B83B04"/>
    <w:rsid w:val="00BA0A62"/>
    <w:rsid w:val="00BC77F7"/>
    <w:rsid w:val="00C56FE9"/>
    <w:rsid w:val="00F07AE0"/>
    <w:rsid w:val="00F4339D"/>
    <w:rsid w:val="00FC7F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F9DC3"/>
  <w15:docId w15:val="{5C4A9E89-01C9-4B9F-844B-896A9B6DF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de-DE"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243A"/>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szCs w:val="32"/>
    </w:rPr>
  </w:style>
  <w:style w:type="paragraph" w:styleId="2">
    <w:name w:val="heading 2"/>
    <w:basedOn w:val="a"/>
    <w:next w:val="a"/>
    <w:link w:val="2Char"/>
    <w:uiPriority w:val="9"/>
    <w:unhideWhenUsed/>
    <w:qFormat/>
    <w:rsid w:val="000A67C3"/>
    <w:pPr>
      <w:keepNext/>
      <w:keepLines/>
      <w:spacing w:before="40" w:after="0"/>
      <w:jc w:val="left"/>
      <w:outlineLvl w:val="1"/>
    </w:pPr>
    <w:rPr>
      <w:rFonts w:eastAsiaTheme="majorEastAsia" w:cstheme="majorBidi"/>
      <w:b/>
      <w:sz w:val="24"/>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spacing w:val="-10"/>
      <w:kern w:val="28"/>
      <w:sz w:val="24"/>
      <w:szCs w:val="56"/>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1Char">
    <w:name w:val="Επικεφαλίδα 1 Char"/>
    <w:basedOn w:val="a0"/>
    <w:link w:val="1"/>
    <w:uiPriority w:val="9"/>
    <w:rsid w:val="000A67C3"/>
    <w:rPr>
      <w:rFonts w:ascii="Calibri" w:eastAsiaTheme="majorEastAsia" w:hAnsi="Calibri" w:cstheme="majorBidi"/>
      <w:b/>
      <w:sz w:val="24"/>
      <w:szCs w:val="32"/>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rsid w:val="000A67C3"/>
    <w:rPr>
      <w:rFonts w:ascii="Calibri" w:eastAsiaTheme="majorEastAsia" w:hAnsi="Calibri" w:cstheme="majorBidi"/>
      <w:b/>
      <w:sz w:val="24"/>
      <w:szCs w:val="26"/>
    </w:rPr>
  </w:style>
  <w:style w:type="character" w:customStyle="1" w:styleId="Char">
    <w:name w:val="Τίτλος Char"/>
    <w:aliases w:val="heading 3 Char"/>
    <w:basedOn w:val="a0"/>
    <w:link w:val="a3"/>
    <w:uiPriority w:val="10"/>
    <w:rsid w:val="000A67C3"/>
    <w:rPr>
      <w:rFonts w:ascii="Calibri" w:eastAsiaTheme="majorEastAsia" w:hAnsi="Calibri" w:cstheme="majorBidi"/>
      <w:i/>
      <w:spacing w:val="-10"/>
      <w:kern w:val="28"/>
      <w:sz w:val="24"/>
      <w:szCs w:val="56"/>
    </w:rPr>
  </w:style>
  <w:style w:type="paragraph" w:styleId="a6">
    <w:name w:val="List Paragraph"/>
    <w:basedOn w:val="a"/>
    <w:uiPriority w:val="34"/>
    <w:qFormat/>
    <w:rsid w:val="005B411B"/>
    <w:pPr>
      <w:ind w:left="720"/>
      <w:contextualSpacing/>
    </w:p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paragraph" w:styleId="Web">
    <w:name w:val="Normal (Web)"/>
    <w:basedOn w:val="a"/>
    <w:uiPriority w:val="99"/>
    <w:unhideWhenUsed/>
    <w:rsid w:val="006B5612"/>
    <w:pPr>
      <w:spacing w:before="100" w:beforeAutospacing="1" w:after="100" w:afterAutospacing="1" w:line="240" w:lineRule="auto"/>
      <w:jc w:val="left"/>
    </w:pPr>
    <w:rPr>
      <w:rFonts w:ascii="Times New Roman" w:eastAsia="Times New Roman" w:hAnsi="Times New Roman" w:cs="Times New Roman"/>
      <w:sz w:val="24"/>
      <w:szCs w:val="24"/>
      <w:lang w:val="de-DE"/>
    </w:rPr>
  </w:style>
  <w:style w:type="character" w:styleId="-">
    <w:name w:val="Hyperlink"/>
    <w:basedOn w:val="a0"/>
    <w:uiPriority w:val="99"/>
    <w:unhideWhenUsed/>
    <w:rsid w:val="004F1D76"/>
    <w:rPr>
      <w:color w:val="0563C1" w:themeColor="hyperlink"/>
      <w:u w:val="single"/>
    </w:rPr>
  </w:style>
  <w:style w:type="paragraph" w:styleId="a8">
    <w:name w:val="TOC Heading"/>
    <w:basedOn w:val="1"/>
    <w:next w:val="a"/>
    <w:uiPriority w:val="39"/>
    <w:unhideWhenUsed/>
    <w:qFormat/>
    <w:rsid w:val="00A42903"/>
    <w:pPr>
      <w:spacing w:line="259" w:lineRule="auto"/>
      <w:jc w:val="left"/>
      <w:outlineLvl w:val="9"/>
    </w:pPr>
    <w:rPr>
      <w:rFonts w:asciiTheme="majorHAnsi" w:hAnsiTheme="majorHAnsi"/>
      <w:b w:val="0"/>
      <w:color w:val="2F5496" w:themeColor="accent1" w:themeShade="BF"/>
      <w:sz w:val="32"/>
      <w:lang w:val="de-DE"/>
    </w:rPr>
  </w:style>
  <w:style w:type="paragraph" w:styleId="10">
    <w:name w:val="toc 1"/>
    <w:basedOn w:val="a"/>
    <w:next w:val="a"/>
    <w:autoRedefine/>
    <w:uiPriority w:val="39"/>
    <w:unhideWhenUsed/>
    <w:rsid w:val="00A42903"/>
    <w:pPr>
      <w:spacing w:after="100"/>
    </w:pPr>
  </w:style>
  <w:style w:type="paragraph" w:styleId="20">
    <w:name w:val="toc 2"/>
    <w:basedOn w:val="a"/>
    <w:next w:val="a"/>
    <w:autoRedefine/>
    <w:uiPriority w:val="39"/>
    <w:unhideWhenUsed/>
    <w:rsid w:val="00A42903"/>
    <w:pPr>
      <w:spacing w:after="100"/>
      <w:ind w:left="220"/>
    </w:pPr>
  </w:style>
  <w:style w:type="character" w:customStyle="1" w:styleId="tooltip">
    <w:name w:val="tooltip"/>
    <w:basedOn w:val="a0"/>
    <w:rsid w:val="00CA0641"/>
  </w:style>
  <w:style w:type="paragraph" w:styleId="a9">
    <w:name w:val="caption"/>
    <w:basedOn w:val="a"/>
    <w:next w:val="a"/>
    <w:uiPriority w:val="35"/>
    <w:unhideWhenUsed/>
    <w:qFormat/>
    <w:rsid w:val="003B3256"/>
    <w:pPr>
      <w:spacing w:after="200" w:line="240" w:lineRule="auto"/>
    </w:pPr>
    <w:rPr>
      <w:i/>
      <w:iCs/>
      <w:color w:val="44546A" w:themeColor="text2"/>
      <w:sz w:val="18"/>
      <w:szCs w:val="18"/>
    </w:rPr>
  </w:style>
  <w:style w:type="character" w:styleId="aa">
    <w:name w:val="annotation reference"/>
    <w:basedOn w:val="a0"/>
    <w:uiPriority w:val="99"/>
    <w:semiHidden/>
    <w:unhideWhenUsed/>
    <w:rsid w:val="0034690B"/>
    <w:rPr>
      <w:sz w:val="16"/>
      <w:szCs w:val="16"/>
    </w:rPr>
  </w:style>
  <w:style w:type="paragraph" w:styleId="ab">
    <w:name w:val="annotation text"/>
    <w:basedOn w:val="a"/>
    <w:link w:val="Char2"/>
    <w:uiPriority w:val="99"/>
    <w:semiHidden/>
    <w:unhideWhenUsed/>
    <w:rsid w:val="0034690B"/>
    <w:pPr>
      <w:spacing w:line="240" w:lineRule="auto"/>
    </w:pPr>
    <w:rPr>
      <w:sz w:val="20"/>
      <w:szCs w:val="20"/>
    </w:rPr>
  </w:style>
  <w:style w:type="character" w:customStyle="1" w:styleId="Char2">
    <w:name w:val="Κείμενο σχολίου Char"/>
    <w:basedOn w:val="a0"/>
    <w:link w:val="ab"/>
    <w:uiPriority w:val="99"/>
    <w:semiHidden/>
    <w:rsid w:val="0034690B"/>
    <w:rPr>
      <w:sz w:val="20"/>
      <w:szCs w:val="20"/>
    </w:rPr>
  </w:style>
  <w:style w:type="paragraph" w:styleId="ac">
    <w:name w:val="annotation subject"/>
    <w:basedOn w:val="ab"/>
    <w:next w:val="ab"/>
    <w:link w:val="Char3"/>
    <w:uiPriority w:val="99"/>
    <w:semiHidden/>
    <w:unhideWhenUsed/>
    <w:rsid w:val="0034690B"/>
    <w:rPr>
      <w:b/>
      <w:bCs/>
    </w:rPr>
  </w:style>
  <w:style w:type="character" w:customStyle="1" w:styleId="Char3">
    <w:name w:val="Θέμα σχολίου Char"/>
    <w:basedOn w:val="Char2"/>
    <w:link w:val="ac"/>
    <w:uiPriority w:val="99"/>
    <w:semiHidden/>
    <w:rsid w:val="0034690B"/>
    <w:rPr>
      <w:b/>
      <w:bCs/>
      <w:sz w:val="20"/>
      <w:szCs w:val="20"/>
    </w:rPr>
  </w:style>
  <w:style w:type="paragraph" w:styleId="ad">
    <w:name w:val="Balloon Text"/>
    <w:basedOn w:val="a"/>
    <w:link w:val="Char4"/>
    <w:uiPriority w:val="99"/>
    <w:semiHidden/>
    <w:unhideWhenUsed/>
    <w:rsid w:val="0034690B"/>
    <w:pPr>
      <w:spacing w:after="0" w:line="240" w:lineRule="auto"/>
    </w:pPr>
    <w:rPr>
      <w:rFonts w:ascii="Segoe UI" w:hAnsi="Segoe UI" w:cs="Segoe UI"/>
      <w:sz w:val="18"/>
      <w:szCs w:val="18"/>
    </w:rPr>
  </w:style>
  <w:style w:type="character" w:customStyle="1" w:styleId="Char4">
    <w:name w:val="Κείμενο πλαισίου Char"/>
    <w:basedOn w:val="a0"/>
    <w:link w:val="ad"/>
    <w:uiPriority w:val="99"/>
    <w:semiHidden/>
    <w:rsid w:val="0034690B"/>
    <w:rPr>
      <w:rFonts w:ascii="Segoe UI" w:hAnsi="Segoe UI" w:cs="Segoe UI"/>
      <w:sz w:val="18"/>
      <w:szCs w:val="18"/>
    </w:rPr>
  </w:style>
  <w:style w:type="character" w:customStyle="1" w:styleId="apple-tab-span">
    <w:name w:val="apple-tab-span"/>
    <w:basedOn w:val="a0"/>
    <w:rsid w:val="007E46BE"/>
  </w:style>
  <w:style w:type="table" w:customStyle="1" w:styleId="ae">
    <w:basedOn w:val="TableNormal2"/>
    <w:pPr>
      <w:spacing w:after="0" w:line="240" w:lineRule="auto"/>
      <w:jc w:val="left"/>
    </w:pPr>
    <w:tblPr>
      <w:tblStyleRowBandSize w:val="1"/>
      <w:tblStyleColBandSize w:val="1"/>
      <w:tblCellMar>
        <w:left w:w="108" w:type="dxa"/>
        <w:right w:w="108" w:type="dxa"/>
      </w:tblCellMar>
    </w:tblPr>
  </w:style>
  <w:style w:type="table" w:customStyle="1" w:styleId="af">
    <w:basedOn w:val="TableNormal2"/>
    <w:pPr>
      <w:spacing w:after="0" w:line="240" w:lineRule="auto"/>
      <w:jc w:val="left"/>
    </w:pPr>
    <w:tblPr>
      <w:tblStyleRowBandSize w:val="1"/>
      <w:tblStyleColBandSize w:val="1"/>
      <w:tblCellMar>
        <w:left w:w="108" w:type="dxa"/>
        <w:right w:w="108" w:type="dxa"/>
      </w:tblCellMar>
    </w:tblPr>
  </w:style>
  <w:style w:type="character" w:customStyle="1" w:styleId="cc-license-title">
    <w:name w:val="cc-license-title"/>
    <w:basedOn w:val="a0"/>
    <w:rsid w:val="00092EC4"/>
  </w:style>
  <w:style w:type="character" w:customStyle="1" w:styleId="cc-license-identifier">
    <w:name w:val="cc-license-identifier"/>
    <w:basedOn w:val="a0"/>
    <w:rsid w:val="00092EC4"/>
  </w:style>
  <w:style w:type="character" w:styleId="af0">
    <w:name w:val="Strong"/>
    <w:basedOn w:val="a0"/>
    <w:uiPriority w:val="22"/>
    <w:qFormat/>
    <w:rsid w:val="00092E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56279">
      <w:bodyDiv w:val="1"/>
      <w:marLeft w:val="0"/>
      <w:marRight w:val="0"/>
      <w:marTop w:val="0"/>
      <w:marBottom w:val="0"/>
      <w:divBdr>
        <w:top w:val="none" w:sz="0" w:space="0" w:color="auto"/>
        <w:left w:val="none" w:sz="0" w:space="0" w:color="auto"/>
        <w:bottom w:val="none" w:sz="0" w:space="0" w:color="auto"/>
        <w:right w:val="none" w:sz="0" w:space="0" w:color="auto"/>
      </w:divBdr>
    </w:div>
    <w:div w:id="1256399638">
      <w:bodyDiv w:val="1"/>
      <w:marLeft w:val="0"/>
      <w:marRight w:val="0"/>
      <w:marTop w:val="0"/>
      <w:marBottom w:val="0"/>
      <w:divBdr>
        <w:top w:val="none" w:sz="0" w:space="0" w:color="auto"/>
        <w:left w:val="none" w:sz="0" w:space="0" w:color="auto"/>
        <w:bottom w:val="none" w:sz="0" w:space="0" w:color="auto"/>
        <w:right w:val="none" w:sz="0" w:space="0" w:color="auto"/>
      </w:divBdr>
      <w:divsChild>
        <w:div w:id="60370933">
          <w:marLeft w:val="-225"/>
          <w:marRight w:val="-225"/>
          <w:marTop w:val="0"/>
          <w:marBottom w:val="0"/>
          <w:divBdr>
            <w:top w:val="none" w:sz="0" w:space="0" w:color="auto"/>
            <w:left w:val="none" w:sz="0" w:space="0" w:color="auto"/>
            <w:bottom w:val="none" w:sz="0" w:space="0" w:color="auto"/>
            <w:right w:val="none" w:sz="0" w:space="0" w:color="auto"/>
          </w:divBdr>
          <w:divsChild>
            <w:div w:id="1128357968">
              <w:marLeft w:val="1937"/>
              <w:marRight w:val="0"/>
              <w:marTop w:val="0"/>
              <w:marBottom w:val="0"/>
              <w:divBdr>
                <w:top w:val="none" w:sz="0" w:space="0" w:color="auto"/>
                <w:left w:val="none" w:sz="0" w:space="0" w:color="auto"/>
                <w:bottom w:val="none" w:sz="0" w:space="0" w:color="auto"/>
                <w:right w:val="none" w:sz="0" w:space="0" w:color="auto"/>
              </w:divBdr>
            </w:div>
          </w:divsChild>
        </w:div>
        <w:div w:id="27728189">
          <w:marLeft w:val="-225"/>
          <w:marRight w:val="-225"/>
          <w:marTop w:val="0"/>
          <w:marBottom w:val="0"/>
          <w:divBdr>
            <w:top w:val="none" w:sz="0" w:space="0" w:color="auto"/>
            <w:left w:val="none" w:sz="0" w:space="0" w:color="auto"/>
            <w:bottom w:val="none" w:sz="0" w:space="0" w:color="auto"/>
            <w:right w:val="none" w:sz="0" w:space="0" w:color="auto"/>
          </w:divBdr>
        </w:div>
      </w:divsChild>
    </w:div>
    <w:div w:id="1743718433">
      <w:bodyDiv w:val="1"/>
      <w:marLeft w:val="0"/>
      <w:marRight w:val="0"/>
      <w:marTop w:val="0"/>
      <w:marBottom w:val="0"/>
      <w:divBdr>
        <w:top w:val="none" w:sz="0" w:space="0" w:color="auto"/>
        <w:left w:val="none" w:sz="0" w:space="0" w:color="auto"/>
        <w:bottom w:val="none" w:sz="0" w:space="0" w:color="auto"/>
        <w:right w:val="none" w:sz="0" w:space="0" w:color="auto"/>
      </w:divBdr>
      <w:divsChild>
        <w:div w:id="474877114">
          <w:marLeft w:val="-225"/>
          <w:marRight w:val="-225"/>
          <w:marTop w:val="0"/>
          <w:marBottom w:val="0"/>
          <w:divBdr>
            <w:top w:val="none" w:sz="0" w:space="0" w:color="auto"/>
            <w:left w:val="none" w:sz="0" w:space="0" w:color="auto"/>
            <w:bottom w:val="none" w:sz="0" w:space="0" w:color="auto"/>
            <w:right w:val="none" w:sz="0" w:space="0" w:color="auto"/>
          </w:divBdr>
        </w:div>
        <w:div w:id="537818366">
          <w:marLeft w:val="-225"/>
          <w:marRight w:val="-225"/>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0.png"/><Relationship Id="rId26" Type="http://schemas.openxmlformats.org/officeDocument/2006/relationships/hyperlink" Target="https://www.hopkinsmedicine.org/health/wellness-and-prevention/abcs-of-eating-smart-for-a-healthy-heart" TargetMode="External"/><Relationship Id="rId39" Type="http://schemas.openxmlformats.org/officeDocument/2006/relationships/hyperlink" Target="http://www.euro.who.int/en/health-topics/health-determinants/migration-and-health/publications/2016/mental-health-and-psychosocial-support-for-refugees,-asylum-seekers-and-migrants-on-the-move-in-europe.-a-multi-agency-guidance-note-2015" TargetMode="External"/><Relationship Id="rId3" Type="http://schemas.openxmlformats.org/officeDocument/2006/relationships/styles" Target="styles.xml"/><Relationship Id="rId21" Type="http://schemas.openxmlformats.org/officeDocument/2006/relationships/hyperlink" Target="https://creativecommons.org/licenses/by-nc-sa/4.0/deed.de" TargetMode="External"/><Relationship Id="rId34" Type="http://schemas.openxmlformats.org/officeDocument/2006/relationships/hyperlink" Target="https://www.euro.who.int/en/health-topics/health-determinants/migration-and-health/publications/2018/report-on-the-health-of-refugees-and-migrants-in-the-who-european-region-no-public-health-without-refugee-and-migrant-health-2018"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https://mig-dhl.eu/" TargetMode="External"/><Relationship Id="rId25" Type="http://schemas.openxmlformats.org/officeDocument/2006/relationships/hyperlink" Target="https://www.hopkinsmedicine.org/health/treatment-tests-and-therapies/screening-tests-for-common-diseases" TargetMode="External"/><Relationship Id="rId33" Type="http://schemas.openxmlformats.org/officeDocument/2006/relationships/hyperlink" Target="https://www.who.int/news-room/facts-in-pictures/detail/nutrition" TargetMode="External"/><Relationship Id="rId38" Type="http://schemas.openxmlformats.org/officeDocument/2006/relationships/hyperlink" Target="https://www.unhcr.org/55f6b90f9.pdf"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creativecommons.org/licenses/by-nc-sa/4.0/deed.de" TargetMode="External"/><Relationship Id="rId29" Type="http://schemas.openxmlformats.org/officeDocument/2006/relationships/hyperlink" Target="https://www.startts.org.au/media/Resource-Working-with-Refugees-Social-Worker-Guide.pdf"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www.europarl.europa.eu/RegData/etudes/IDAN/2017/602004/IPOL_IDA(2017)602004_EN.pdf" TargetMode="External"/><Relationship Id="rId32" Type="http://schemas.openxmlformats.org/officeDocument/2006/relationships/hyperlink" Target="https://www.who.int/vaccine_safety/initiative/tech_support/Vaccine-safety-E-course-manual.pdf" TargetMode="External"/><Relationship Id="rId37" Type="http://schemas.openxmlformats.org/officeDocument/2006/relationships/hyperlink" Target="https://www.unicef.org/eca/health/immunization"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hyperlink" Target="https://creativecommons.org/licenses/by-nc-sa/4.0/deed.de" TargetMode="External"/><Relationship Id="rId28" Type="http://schemas.openxmlformats.org/officeDocument/2006/relationships/hyperlink" Target="https://pubs.niaaa.nih.gov/publications/aa71/aa71.htm" TargetMode="External"/><Relationship Id="rId36" Type="http://schemas.openxmlformats.org/officeDocument/2006/relationships/hyperlink" Target="https://www.who.int/health-topics/vaccines-and-immunization" TargetMode="External"/><Relationship Id="rId10" Type="http://schemas.openxmlformats.org/officeDocument/2006/relationships/image" Target="media/image3.jpg"/><Relationship Id="rId19" Type="http://schemas.openxmlformats.org/officeDocument/2006/relationships/hyperlink" Target="https://creativecommons.org/licenses/by-nc-sa/4.0/deed.de" TargetMode="External"/><Relationship Id="rId31" Type="http://schemas.openxmlformats.org/officeDocument/2006/relationships/hyperlink" Target="https://www.euro.who.int/__data/assets/pdf_file/0005/293270/Migration-Health-Key-Issues-.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hyperlink" Target="https://creativecommons.org/licenses/by-nc-sa/4.0/deed.de" TargetMode="External"/><Relationship Id="rId27" Type="http://schemas.openxmlformats.org/officeDocument/2006/relationships/hyperlink" Target="https://www.hopkinsmedicine.org/health/conditions-and-diseases/malnutrition" TargetMode="External"/><Relationship Id="rId30" Type="http://schemas.openxmlformats.org/officeDocument/2006/relationships/hyperlink" Target="https://www.who.int/water_sanitation_health/hygiene/settings/hvchap8.pdf" TargetMode="External"/><Relationship Id="rId35" Type="http://schemas.openxmlformats.org/officeDocument/2006/relationships/hyperlink" Target="https://www.who.int/news-room/facts-in-pictures/detail/immunization"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zHAAnOqtSZ2dGpld6GciVttsQA==">AMUW2mV6mY2wta4p6V7pSzJdeK/gdVG82YWukLmQivPDEmIuqn/5mS2T8/3tFa+h94Oh4t15Dgvrg19F05KXKyLsy1NwhFf5Bz2FK38x0J81+RyPEQUmkf7eAU7zz/gw/0gdnzggq7Or9h9GV+SQfM9S+kSwLGMp1epFH2ZupLYtVdHDu+dNchbXnsTzJ+N+XCHH39qRy8iYLrY+Zp1O221OmAbInVUcN/3ysh7jLwi6W3AIsZXSuEvFMRdPUbOzpieWHiAuJhOs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3525</Words>
  <Characters>19035</Characters>
  <Application>Microsoft Office Word</Application>
  <DocSecurity>0</DocSecurity>
  <Lines>158</Lines>
  <Paragraphs>45</Paragraphs>
  <ScaleCrop>false</ScaleCrop>
  <HeadingPairs>
    <vt:vector size="6" baseType="variant">
      <vt:variant>
        <vt:lpstr>Titel</vt:lpstr>
      </vt:variant>
      <vt:variant>
        <vt:i4>1</vt:i4>
      </vt:variant>
      <vt:variant>
        <vt:lpstr>Überschriften</vt:lpstr>
      </vt:variant>
      <vt:variant>
        <vt:i4>12</vt:i4>
      </vt:variant>
      <vt:variant>
        <vt:lpstr>Title</vt:lpstr>
      </vt:variant>
      <vt:variant>
        <vt:i4>1</vt:i4>
      </vt:variant>
    </vt:vector>
  </HeadingPairs>
  <TitlesOfParts>
    <vt:vector size="14" baseType="lpstr">
      <vt:lpstr/>
      <vt:lpstr/>
      <vt:lpstr>    Namensnennung - Nicht-kommerziell - Weitergabe unter gleichen Bedingungen 4.0 In</vt:lpstr>
      <vt:lpstr>        Sie dürfen:</vt:lpstr>
      <vt:lpstr>        Unter folgenden Bedingungen:</vt:lpstr>
      <vt:lpstr>    </vt:lpstr>
      <vt:lpstr>    2.0 Einführung</vt:lpstr>
      <vt:lpstr>    2.1 Eröffnung </vt:lpstr>
      <vt:lpstr>    </vt:lpstr>
      <vt:lpstr>    2.2 Risikofaktoren für Gesundheitsprobleme in den verschiedenen Migrationsphasen</vt:lpstr>
      <vt:lpstr>    2.3 Erfassung der physischen und psychischen Gesundheit von Migrant*innen</vt:lpstr>
      <vt:lpstr>    2.4. Präventionsstrategien	</vt:lpstr>
      <vt:lpstr>    2.5 Referenzen</vt: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Wielga</dc:creator>
  <cp:lastModifiedBy>pantelis balaouras</cp:lastModifiedBy>
  <cp:revision>6</cp:revision>
  <cp:lastPrinted>2022-07-27T12:50:00Z</cp:lastPrinted>
  <dcterms:created xsi:type="dcterms:W3CDTF">2022-05-22T13:26:00Z</dcterms:created>
  <dcterms:modified xsi:type="dcterms:W3CDTF">2022-07-27T12:50:00Z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