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3CCF" w14:textId="77777777" w:rsidR="00FD1591" w:rsidRDefault="00FD1591">
      <w:pPr>
        <w:widowControl w:val="0"/>
        <w:pBdr>
          <w:top w:val="nil"/>
          <w:left w:val="nil"/>
          <w:bottom w:val="nil"/>
          <w:right w:val="nil"/>
          <w:between w:val="nil"/>
        </w:pBdr>
        <w:spacing w:after="0" w:line="276" w:lineRule="auto"/>
        <w:jc w:val="left"/>
      </w:pPr>
    </w:p>
    <w:p w14:paraId="798EC170" w14:textId="77777777" w:rsidR="00573809" w:rsidRPr="00D62E2C" w:rsidRDefault="00573809" w:rsidP="00573809">
      <w:pPr>
        <w:pStyle w:val="1"/>
        <w:jc w:val="both"/>
        <w:rPr>
          <w:szCs w:val="24"/>
        </w:rPr>
      </w:pPr>
    </w:p>
    <w:p w14:paraId="749FE9A2" w14:textId="77777777" w:rsidR="00573809" w:rsidRPr="00EB08FF" w:rsidRDefault="00573809" w:rsidP="00573809">
      <w:pPr>
        <w:rPr>
          <w:lang w:val="it-IT" w:eastAsia="en-GB"/>
        </w:rPr>
      </w:pPr>
      <w:r w:rsidRPr="00EB08FF">
        <w:rPr>
          <w:noProof/>
          <w:lang w:val="it-IT"/>
        </w:rPr>
        <w:drawing>
          <wp:inline distT="0" distB="0" distL="0" distR="0" wp14:anchorId="2C1FCA57" wp14:editId="5AA23ABA">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5D2E71C" w14:textId="77777777" w:rsidR="00356D06" w:rsidRPr="00EB08FF" w:rsidRDefault="009E4934">
      <w:pPr>
        <w:jc w:val="center"/>
        <w:rPr>
          <w:b/>
          <w:bCs/>
          <w:color w:val="C00000"/>
          <w:sz w:val="96"/>
          <w:szCs w:val="96"/>
          <w:lang w:val="it-IT" w:eastAsia="en-GB"/>
        </w:rPr>
      </w:pPr>
      <w:r w:rsidRPr="00EB08FF">
        <w:rPr>
          <w:b/>
          <w:color w:val="C00000"/>
          <w:sz w:val="96"/>
          <w:szCs w:val="96"/>
          <w:lang w:val="it-IT" w:eastAsia="en-GB"/>
        </w:rPr>
        <w:t>Manuale</w:t>
      </w:r>
    </w:p>
    <w:p w14:paraId="76F8EF5D" w14:textId="77777777" w:rsidR="00356D06" w:rsidRPr="00EB08FF" w:rsidRDefault="001E1DCB">
      <w:pPr>
        <w:jc w:val="center"/>
        <w:rPr>
          <w:b/>
          <w:bCs/>
          <w:color w:val="C00000"/>
          <w:sz w:val="32"/>
          <w:szCs w:val="32"/>
          <w:lang w:val="it-IT" w:eastAsia="en-GB"/>
        </w:rPr>
      </w:pPr>
      <w:r w:rsidRPr="00EB08FF">
        <w:rPr>
          <w:b/>
          <w:color w:val="C00000"/>
          <w:sz w:val="40"/>
          <w:szCs w:val="40"/>
          <w:lang w:val="it-IT" w:eastAsia="en-GB"/>
        </w:rPr>
        <w:t xml:space="preserve">Modulo 1 </w:t>
      </w:r>
      <w:r w:rsidRPr="00EB08FF">
        <w:rPr>
          <w:b/>
          <w:sz w:val="40"/>
          <w:szCs w:val="40"/>
          <w:lang w:val="it-IT" w:eastAsia="en-GB"/>
        </w:rPr>
        <w:br/>
      </w:r>
      <w:r w:rsidRPr="00EB08FF">
        <w:rPr>
          <w:sz w:val="40"/>
          <w:szCs w:val="40"/>
          <w:lang w:val="it-IT" w:eastAsia="en-GB"/>
        </w:rPr>
        <w:t xml:space="preserve">Che cos'è la </w:t>
      </w:r>
      <w:r w:rsidRPr="00EB08FF">
        <w:rPr>
          <w:i/>
          <w:sz w:val="40"/>
          <w:szCs w:val="40"/>
          <w:lang w:val="it-IT" w:eastAsia="en-GB"/>
        </w:rPr>
        <w:t xml:space="preserve">Digital </w:t>
      </w:r>
      <w:r w:rsidR="000721B5" w:rsidRPr="00EB08FF">
        <w:rPr>
          <w:i/>
          <w:sz w:val="40"/>
          <w:szCs w:val="40"/>
          <w:lang w:val="it-IT" w:eastAsia="en-GB"/>
        </w:rPr>
        <w:t>Health Literacy</w:t>
      </w:r>
      <w:r w:rsidR="000721B5" w:rsidRPr="00EB08FF">
        <w:rPr>
          <w:sz w:val="40"/>
          <w:szCs w:val="40"/>
          <w:lang w:val="it-IT" w:eastAsia="en-GB"/>
        </w:rPr>
        <w:t xml:space="preserve"> (alfabetizzazione sanitaria digitale)</w:t>
      </w:r>
      <w:r w:rsidR="00C37CA9" w:rsidRPr="00EB08FF">
        <w:rPr>
          <w:sz w:val="40"/>
          <w:szCs w:val="40"/>
          <w:lang w:val="it-IT" w:eastAsia="en-GB"/>
        </w:rPr>
        <w:t>?</w:t>
      </w:r>
    </w:p>
    <w:p w14:paraId="4703CCF4" w14:textId="77777777" w:rsidR="00356D06" w:rsidRPr="00EB08FF" w:rsidRDefault="001E1DCB">
      <w:pPr>
        <w:rPr>
          <w:sz w:val="28"/>
          <w:szCs w:val="28"/>
          <w:lang w:val="it-IT" w:eastAsia="en-GB"/>
        </w:rPr>
      </w:pPr>
      <w:r w:rsidRPr="00EB08FF">
        <w:rPr>
          <w:b/>
          <w:color w:val="C00000"/>
          <w:sz w:val="32"/>
          <w:szCs w:val="32"/>
          <w:lang w:val="it-IT" w:eastAsia="en-GB"/>
        </w:rPr>
        <w:t>Autori:</w:t>
      </w:r>
      <w:r w:rsidRPr="00EB08FF">
        <w:rPr>
          <w:b/>
          <w:color w:val="C00000"/>
          <w:sz w:val="32"/>
          <w:szCs w:val="32"/>
          <w:lang w:val="it-IT" w:eastAsia="en-GB"/>
        </w:rPr>
        <w:br/>
      </w:r>
      <w:r w:rsidRPr="00EB08FF">
        <w:rPr>
          <w:sz w:val="28"/>
          <w:szCs w:val="28"/>
          <w:lang w:val="it-IT" w:eastAsia="en-GB"/>
        </w:rPr>
        <w:t>Carlos Serra, UVEG; Jenny Wielga, IAT</w:t>
      </w:r>
    </w:p>
    <w:p w14:paraId="77DA8461" w14:textId="77777777" w:rsidR="00573809" w:rsidRPr="00EB08FF" w:rsidRDefault="00573809" w:rsidP="00573809">
      <w:pPr>
        <w:rPr>
          <w:sz w:val="16"/>
          <w:szCs w:val="16"/>
          <w:lang w:val="it-IT"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73809" w:rsidRPr="00EB08FF" w14:paraId="42DE9874" w14:textId="77777777" w:rsidTr="003C0F06">
        <w:trPr>
          <w:jc w:val="center"/>
        </w:trPr>
        <w:tc>
          <w:tcPr>
            <w:tcW w:w="1956" w:type="dxa"/>
            <w:gridSpan w:val="2"/>
          </w:tcPr>
          <w:p w14:paraId="151571FB" w14:textId="77777777" w:rsidR="00573809" w:rsidRPr="00EB08FF" w:rsidRDefault="00573809" w:rsidP="003C0F06">
            <w:pPr>
              <w:rPr>
                <w:sz w:val="16"/>
                <w:szCs w:val="16"/>
                <w:lang w:val="it-IT" w:eastAsia="en-GB"/>
              </w:rPr>
            </w:pPr>
            <w:r w:rsidRPr="00EB08FF">
              <w:rPr>
                <w:noProof/>
                <w:sz w:val="16"/>
                <w:szCs w:val="16"/>
                <w:lang w:val="it-IT"/>
              </w:rPr>
              <w:drawing>
                <wp:inline distT="0" distB="0" distL="0" distR="0" wp14:anchorId="1CB3EA95" wp14:editId="3D3B1704">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2C25DA8" w14:textId="77777777" w:rsidR="00356D06" w:rsidRPr="00EB08FF" w:rsidRDefault="001E1DCB">
            <w:pPr>
              <w:rPr>
                <w:sz w:val="16"/>
                <w:szCs w:val="16"/>
                <w:lang w:val="it-IT" w:eastAsia="en-GB"/>
              </w:rPr>
            </w:pPr>
            <w:r w:rsidRPr="00EB08FF">
              <w:rPr>
                <w:noProof/>
                <w:sz w:val="16"/>
                <w:szCs w:val="16"/>
                <w:lang w:val="it-IT"/>
              </w:rPr>
              <w:drawing>
                <wp:anchor distT="0" distB="0" distL="114300" distR="114300" simplePos="0" relativeHeight="251661312" behindDoc="0" locked="0" layoutInCell="1" allowOverlap="1" wp14:anchorId="1EEED9D5" wp14:editId="4C279100">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58FEE11" w14:textId="77777777" w:rsidR="00356D06" w:rsidRPr="00EB08FF" w:rsidRDefault="001E1DCB">
            <w:pPr>
              <w:rPr>
                <w:sz w:val="16"/>
                <w:szCs w:val="16"/>
                <w:lang w:val="it-IT" w:eastAsia="en-GB"/>
              </w:rPr>
            </w:pPr>
            <w:r w:rsidRPr="00EB08FF">
              <w:rPr>
                <w:noProof/>
                <w:sz w:val="16"/>
                <w:szCs w:val="16"/>
                <w:lang w:val="it-IT"/>
              </w:rPr>
              <w:drawing>
                <wp:anchor distT="0" distB="0" distL="114300" distR="114300" simplePos="0" relativeHeight="251662336" behindDoc="0" locked="0" layoutInCell="1" allowOverlap="1" wp14:anchorId="24F297ED" wp14:editId="09BB1A4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DACDBB8" w14:textId="77777777" w:rsidR="00573809" w:rsidRPr="00EB08FF" w:rsidRDefault="00573809" w:rsidP="003C0F06">
            <w:pPr>
              <w:rPr>
                <w:sz w:val="16"/>
                <w:szCs w:val="16"/>
                <w:lang w:val="it-IT" w:eastAsia="en-GB"/>
              </w:rPr>
            </w:pPr>
            <w:r w:rsidRPr="00EB08FF">
              <w:rPr>
                <w:noProof/>
                <w:sz w:val="16"/>
                <w:szCs w:val="16"/>
                <w:lang w:val="it-IT"/>
              </w:rPr>
              <w:drawing>
                <wp:inline distT="0" distB="0" distL="0" distR="0" wp14:anchorId="69EC75C0" wp14:editId="2F6E4408">
                  <wp:extent cx="1040190" cy="582295"/>
                  <wp:effectExtent l="0" t="0" r="7620" b="8255"/>
                  <wp:docPr id="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B75D7A5" w14:textId="77777777" w:rsidR="00573809" w:rsidRPr="00EB08FF" w:rsidRDefault="00573809" w:rsidP="003C0F06">
            <w:pPr>
              <w:rPr>
                <w:sz w:val="16"/>
                <w:szCs w:val="16"/>
                <w:lang w:val="it-IT" w:eastAsia="en-GB"/>
              </w:rPr>
            </w:pPr>
            <w:r w:rsidRPr="00EB08FF">
              <w:rPr>
                <w:noProof/>
                <w:sz w:val="16"/>
                <w:szCs w:val="16"/>
                <w:lang w:val="it-IT"/>
              </w:rPr>
              <w:drawing>
                <wp:inline distT="0" distB="0" distL="0" distR="0" wp14:anchorId="3434B55B" wp14:editId="651E44B7">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3809" w:rsidRPr="00EB08FF" w14:paraId="35158928" w14:textId="77777777" w:rsidTr="003C0F06">
        <w:tblPrEx>
          <w:jc w:val="left"/>
        </w:tblPrEx>
        <w:trPr>
          <w:gridBefore w:val="1"/>
          <w:gridAfter w:val="1"/>
          <w:wBefore w:w="142" w:type="dxa"/>
          <w:wAfter w:w="10" w:type="dxa"/>
        </w:trPr>
        <w:tc>
          <w:tcPr>
            <w:tcW w:w="4366" w:type="dxa"/>
            <w:gridSpan w:val="3"/>
          </w:tcPr>
          <w:p w14:paraId="708B66DD" w14:textId="77777777" w:rsidR="00573809" w:rsidRPr="00EB08FF" w:rsidRDefault="00573809" w:rsidP="003C0F06">
            <w:pPr>
              <w:jc w:val="center"/>
              <w:rPr>
                <w:sz w:val="16"/>
                <w:szCs w:val="16"/>
                <w:lang w:val="it-IT" w:eastAsia="en-GB"/>
              </w:rPr>
            </w:pPr>
            <w:r w:rsidRPr="00EB08FF">
              <w:rPr>
                <w:noProof/>
                <w:sz w:val="16"/>
                <w:szCs w:val="16"/>
                <w:lang w:val="it-IT"/>
              </w:rPr>
              <w:drawing>
                <wp:inline distT="0" distB="0" distL="0" distR="0" wp14:anchorId="553F0675" wp14:editId="6DE79882">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EF62C7D" w14:textId="77777777" w:rsidR="00573809" w:rsidRPr="00EB08FF" w:rsidRDefault="00573809" w:rsidP="003C0F06">
            <w:pPr>
              <w:jc w:val="center"/>
              <w:rPr>
                <w:sz w:val="16"/>
                <w:szCs w:val="16"/>
                <w:lang w:val="it-IT" w:eastAsia="en-GB"/>
              </w:rPr>
            </w:pPr>
            <w:r w:rsidRPr="00EB08FF">
              <w:rPr>
                <w:noProof/>
                <w:sz w:val="16"/>
                <w:szCs w:val="16"/>
                <w:lang w:val="it-IT"/>
              </w:rPr>
              <w:drawing>
                <wp:inline distT="0" distB="0" distL="0" distR="0" wp14:anchorId="68D2A38B" wp14:editId="73D8F01F">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63BA3E4" w14:textId="77777777" w:rsidR="00356D06" w:rsidRPr="00EB08FF" w:rsidRDefault="001E1DCB">
      <w:pPr>
        <w:rPr>
          <w:sz w:val="16"/>
          <w:szCs w:val="16"/>
          <w:lang w:val="it-IT" w:eastAsia="en-GB"/>
        </w:rPr>
      </w:pPr>
      <w:r w:rsidRPr="00EB08FF">
        <w:rPr>
          <w:rFonts w:ascii="Euphemia" w:hAnsi="Euphemia"/>
          <w:noProof/>
          <w:color w:val="262626" w:themeColor="text1" w:themeTint="D9"/>
          <w:sz w:val="18"/>
          <w:szCs w:val="18"/>
          <w:lang w:val="it-IT"/>
        </w:rPr>
        <w:drawing>
          <wp:anchor distT="0" distB="0" distL="114300" distR="114300" simplePos="0" relativeHeight="251660288" behindDoc="1" locked="0" layoutInCell="1" allowOverlap="1" wp14:anchorId="6480D34A" wp14:editId="3D36ABCE">
            <wp:simplePos x="0" y="0"/>
            <wp:positionH relativeFrom="column">
              <wp:posOffset>-641350</wp:posOffset>
            </wp:positionH>
            <wp:positionV relativeFrom="paragraph">
              <wp:posOffset>233680</wp:posOffset>
            </wp:positionV>
            <wp:extent cx="1683385" cy="654050"/>
            <wp:effectExtent l="0" t="0" r="0" b="0"/>
            <wp:wrapTight wrapText="bothSides">
              <wp:wrapPolygon edited="0">
                <wp:start x="0" y="0"/>
                <wp:lineTo x="0" y="20761"/>
                <wp:lineTo x="21266" y="20761"/>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7E578" w14:textId="77777777" w:rsidR="00356D06" w:rsidRPr="00EB08FF" w:rsidRDefault="001E1DCB">
      <w:pPr>
        <w:rPr>
          <w:sz w:val="16"/>
          <w:szCs w:val="16"/>
          <w:lang w:val="it-IT"/>
        </w:rPr>
        <w:sectPr w:rsidR="00356D06" w:rsidRPr="00EB08FF" w:rsidSect="00573809">
          <w:headerReference w:type="default" r:id="rId22"/>
          <w:footerReference w:type="default" r:id="rId23"/>
          <w:headerReference w:type="first" r:id="rId24"/>
          <w:footerReference w:type="first" r:id="rId25"/>
          <w:pgSz w:w="11906" w:h="16838"/>
          <w:pgMar w:top="1440" w:right="1440" w:bottom="1440" w:left="1440" w:header="708" w:footer="478" w:gutter="0"/>
          <w:pgNumType w:start="0"/>
          <w:cols w:space="708"/>
          <w:titlePg/>
          <w:docGrid w:linePitch="360"/>
        </w:sectPr>
      </w:pPr>
      <w:r w:rsidRPr="00EB08FF">
        <w:rPr>
          <w:sz w:val="16"/>
          <w:szCs w:val="16"/>
          <w:lang w:val="it-IT" w:eastAsia="en-GB"/>
        </w:rPr>
        <w:t>Il sostegno della Commissione europea alla realizzazione di questa pubblicazione non costituisce un'approvazione dei contenuti, che riflettono esclusivamente le opinioni degli autori</w:t>
      </w:r>
      <w:r w:rsidR="004E2A30" w:rsidRPr="00EB08FF">
        <w:rPr>
          <w:sz w:val="16"/>
          <w:szCs w:val="16"/>
          <w:lang w:val="it-IT" w:eastAsia="en-GB"/>
        </w:rPr>
        <w:t>.</w:t>
      </w:r>
      <w:r w:rsidRPr="00EB08FF">
        <w:rPr>
          <w:sz w:val="16"/>
          <w:szCs w:val="16"/>
          <w:lang w:val="it-IT" w:eastAsia="en-GB"/>
        </w:rPr>
        <w:t xml:space="preserve"> </w:t>
      </w:r>
      <w:r w:rsidR="004E2A30" w:rsidRPr="00EB08FF">
        <w:rPr>
          <w:sz w:val="16"/>
          <w:szCs w:val="16"/>
          <w:lang w:val="it-IT" w:eastAsia="en-GB"/>
        </w:rPr>
        <w:t>L</w:t>
      </w:r>
      <w:r w:rsidRPr="00EB08FF">
        <w:rPr>
          <w:sz w:val="16"/>
          <w:szCs w:val="16"/>
          <w:lang w:val="it-IT" w:eastAsia="en-GB"/>
        </w:rPr>
        <w:t xml:space="preserve">a Commissione non può essere ritenuta responsabile per l'uso che può essere fatto delle informazioni in essa contenute. Numero del </w:t>
      </w:r>
      <w:r w:rsidR="009E4934" w:rsidRPr="00EB08FF">
        <w:rPr>
          <w:sz w:val="16"/>
          <w:szCs w:val="16"/>
          <w:lang w:val="it-IT" w:eastAsia="en-GB"/>
        </w:rPr>
        <w:t xml:space="preserve">  </w:t>
      </w:r>
      <w:r w:rsidRPr="00EB08FF">
        <w:rPr>
          <w:sz w:val="16"/>
          <w:szCs w:val="16"/>
          <w:lang w:val="it-IT" w:eastAsia="en-GB"/>
        </w:rPr>
        <w:t>progetto: 2020-1-DE02-KA204-007679.</w:t>
      </w:r>
      <w:r w:rsidRPr="00EB08FF">
        <w:rPr>
          <w:sz w:val="16"/>
          <w:szCs w:val="16"/>
          <w:lang w:val="it-IT"/>
        </w:rPr>
        <w:br w:type="page"/>
      </w:r>
    </w:p>
    <w:p w14:paraId="678ADFD8" w14:textId="77777777" w:rsidR="00573809" w:rsidRPr="00EB08FF" w:rsidRDefault="00573809" w:rsidP="00573809">
      <w:pPr>
        <w:rPr>
          <w:lang w:val="it-IT" w:eastAsia="en-GB"/>
        </w:rPr>
      </w:pPr>
      <w:bookmarkStart w:id="0" w:name="_Hlk13583558"/>
    </w:p>
    <w:bookmarkEnd w:id="0"/>
    <w:p w14:paraId="55BA4499" w14:textId="77777777" w:rsidR="00356D06" w:rsidRPr="00EB08FF" w:rsidRDefault="001E1DCB" w:rsidP="009E4934">
      <w:pPr>
        <w:spacing w:line="259" w:lineRule="auto"/>
        <w:rPr>
          <w:bCs/>
          <w:lang w:val="it-IT" w:eastAsia="en-GB"/>
        </w:rPr>
      </w:pPr>
      <w:r w:rsidRPr="00EB08FF">
        <w:rPr>
          <w:lang w:val="it-IT" w:eastAsia="en-GB"/>
        </w:rPr>
        <w:t xml:space="preserve">Questo manuale per il modulo </w:t>
      </w:r>
      <w:r w:rsidR="004E2A30" w:rsidRPr="00EB08FF">
        <w:rPr>
          <w:lang w:val="it-IT" w:eastAsia="en-GB"/>
        </w:rPr>
        <w:t>1</w:t>
      </w:r>
      <w:r w:rsidRPr="00EB08FF">
        <w:rPr>
          <w:lang w:val="it-IT" w:eastAsia="en-GB"/>
        </w:rPr>
        <w:t xml:space="preserve"> fa parte del programma</w:t>
      </w:r>
      <w:r w:rsidR="004E2A30" w:rsidRPr="00EB08FF">
        <w:rPr>
          <w:lang w:val="it-IT" w:eastAsia="en-GB"/>
        </w:rPr>
        <w:t xml:space="preserve"> </w:t>
      </w:r>
      <w:r w:rsidR="004E2A30" w:rsidRPr="00EB08FF">
        <w:rPr>
          <w:b/>
          <w:lang w:val="it-IT" w:eastAsia="en-GB"/>
        </w:rPr>
        <w:t xml:space="preserve">MIG-DHL. </w:t>
      </w:r>
      <w:r w:rsidRPr="00EB08FF">
        <w:rPr>
          <w:lang w:val="it-IT" w:eastAsia="en-GB"/>
        </w:rPr>
        <w:t xml:space="preserve"> </w:t>
      </w:r>
      <w:r w:rsidR="004E2A30" w:rsidRPr="00EB08FF">
        <w:rPr>
          <w:lang w:val="it-IT" w:eastAsia="en-GB"/>
        </w:rPr>
        <w:t xml:space="preserve">Il programma </w:t>
      </w:r>
      <w:r w:rsidRPr="00EB08FF">
        <w:rPr>
          <w:lang w:val="it-IT" w:eastAsia="en-GB"/>
        </w:rPr>
        <w:t>contiene 6 moduli di apprendimento in totale</w:t>
      </w:r>
      <w:r w:rsidR="009E4934" w:rsidRPr="00EB08FF">
        <w:rPr>
          <w:b/>
          <w:lang w:val="it-IT" w:eastAsia="en-GB"/>
        </w:rPr>
        <w:t xml:space="preserve"> </w:t>
      </w:r>
      <w:r w:rsidR="009E4934" w:rsidRPr="00EB08FF">
        <w:rPr>
          <w:lang w:val="it-IT" w:eastAsia="en-GB"/>
        </w:rPr>
        <w:t xml:space="preserve">ed è stato sviluppato all’interno del partenariato strategico Erasmus+ </w:t>
      </w:r>
      <w:r w:rsidR="009E4934" w:rsidRPr="00EB08FF">
        <w:rPr>
          <w:b/>
          <w:lang w:val="it-IT" w:eastAsia="en-GB"/>
        </w:rPr>
        <w:t>MIG-DHL- Migrants Digital Health Literacy</w:t>
      </w:r>
      <w:r w:rsidR="00EB08FF">
        <w:rPr>
          <w:b/>
          <w:lang w:val="it-IT" w:eastAsia="en-GB"/>
        </w:rPr>
        <w:t>.</w:t>
      </w:r>
    </w:p>
    <w:p w14:paraId="65E68755" w14:textId="77777777" w:rsidR="00356D06" w:rsidRPr="00EB08FF" w:rsidRDefault="001E1DCB">
      <w:pPr>
        <w:pStyle w:val="a8"/>
        <w:pBdr>
          <w:bottom w:val="single" w:sz="4" w:space="1" w:color="C00000"/>
        </w:pBdr>
        <w:spacing w:before="100" w:beforeAutospacing="1" w:after="480"/>
        <w:ind w:left="432" w:hanging="432"/>
        <w:jc w:val="both"/>
        <w:rPr>
          <w:lang w:val="it-IT" w:eastAsia="en-GB"/>
        </w:rPr>
      </w:pPr>
      <w:r w:rsidRPr="00EB08FF">
        <w:rPr>
          <w:lang w:val="it-IT" w:eastAsia="en-GB"/>
        </w:rPr>
        <w:t xml:space="preserve">I contenuti della formazione in </w:t>
      </w:r>
      <w:r w:rsidRPr="00EB08FF">
        <w:rPr>
          <w:lang w:val="it-IT"/>
        </w:rPr>
        <w:t>sintesi</w:t>
      </w:r>
      <w:r w:rsidRPr="00EB08FF">
        <w:rPr>
          <w:lang w:val="it-IT"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573809" w:rsidRPr="00EB08FF" w14:paraId="3039F54A" w14:textId="77777777" w:rsidTr="003C0F06">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57E2BB58" w14:textId="77777777" w:rsidR="00356D06" w:rsidRPr="00EB08FF" w:rsidRDefault="001E1DCB">
            <w:pPr>
              <w:rPr>
                <w:b/>
                <w:bCs/>
                <w:color w:val="1A1364"/>
                <w:szCs w:val="24"/>
                <w:lang w:val="it-IT"/>
              </w:rPr>
            </w:pPr>
            <w:r w:rsidRPr="00EB08FF">
              <w:rPr>
                <w:b/>
                <w:color w:val="1A1364"/>
                <w:szCs w:val="24"/>
                <w:lang w:val="it-IT"/>
              </w:rPr>
              <w:t>Programma MIG-DHL</w:t>
            </w:r>
          </w:p>
        </w:tc>
      </w:tr>
      <w:tr w:rsidR="00573809" w:rsidRPr="00EB08FF" w14:paraId="6E8D498A"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3A83D4F3" w14:textId="77777777" w:rsidR="00356D06" w:rsidRPr="00EB08FF" w:rsidRDefault="001E1DCB">
            <w:pPr>
              <w:pStyle w:val="af"/>
              <w:rPr>
                <w:rFonts w:ascii="Arial" w:hAnsi="Arial" w:cs="Arial"/>
                <w:b/>
                <w:bCs w:val="0"/>
                <w:color w:val="FFFFFF" w:themeColor="background1"/>
                <w:lang w:val="it-IT"/>
              </w:rPr>
            </w:pPr>
            <w:r w:rsidRPr="00EB08FF">
              <w:rPr>
                <w:rFonts w:ascii="Arial" w:hAnsi="Arial" w:cs="Arial"/>
                <w:b/>
                <w:bCs w:val="0"/>
                <w:color w:val="FFFFFF" w:themeColor="background1"/>
                <w:lang w:val="it-IT"/>
              </w:rPr>
              <w:t>Modulo 1: Cos'è l</w:t>
            </w:r>
            <w:r w:rsidR="004E2A30" w:rsidRPr="00EB08FF">
              <w:rPr>
                <w:rFonts w:ascii="Arial" w:hAnsi="Arial" w:cs="Arial"/>
                <w:b/>
                <w:bCs w:val="0"/>
                <w:color w:val="FFFFFF" w:themeColor="background1"/>
                <w:lang w:val="it-IT"/>
              </w:rPr>
              <w:t xml:space="preserve">a </w:t>
            </w:r>
            <w:r w:rsidR="004E2A30" w:rsidRPr="00EB08FF">
              <w:rPr>
                <w:rFonts w:ascii="Arial" w:hAnsi="Arial" w:cs="Arial"/>
                <w:b/>
                <w:bCs w:val="0"/>
                <w:i/>
                <w:color w:val="FFFFFF" w:themeColor="background1"/>
                <w:lang w:val="it-IT"/>
              </w:rPr>
              <w:t>Digital Health Literacy</w:t>
            </w:r>
            <w:r w:rsidR="004E2A30" w:rsidRPr="00EB08FF">
              <w:rPr>
                <w:rFonts w:ascii="Arial" w:hAnsi="Arial" w:cs="Arial"/>
                <w:b/>
                <w:bCs w:val="0"/>
                <w:color w:val="FFFFFF" w:themeColor="background1"/>
                <w:lang w:val="it-IT"/>
              </w:rPr>
              <w:t xml:space="preserve"> (</w:t>
            </w:r>
            <w:r w:rsidRPr="00EB08FF">
              <w:rPr>
                <w:rFonts w:ascii="Arial" w:hAnsi="Arial" w:cs="Arial"/>
                <w:b/>
                <w:bCs w:val="0"/>
                <w:color w:val="FFFFFF" w:themeColor="background1"/>
                <w:lang w:val="it-IT"/>
              </w:rPr>
              <w:t>alfabetizzazione sanitaria digitale</w:t>
            </w:r>
            <w:r w:rsidR="004E2A30" w:rsidRPr="00EB08FF">
              <w:rPr>
                <w:rFonts w:ascii="Arial" w:hAnsi="Arial" w:cs="Arial"/>
                <w:b/>
                <w:bCs w:val="0"/>
                <w:color w:val="FFFFFF" w:themeColor="background1"/>
                <w:lang w:val="it-IT"/>
              </w:rPr>
              <w:t>)</w:t>
            </w:r>
            <w:r w:rsidR="00C37CA9" w:rsidRPr="00EB08FF">
              <w:rPr>
                <w:rFonts w:ascii="Arial" w:hAnsi="Arial" w:cs="Arial"/>
                <w:b/>
                <w:bCs w:val="0"/>
                <w:color w:val="FFFFFF" w:themeColor="background1"/>
                <w:lang w:val="it-IT"/>
              </w:rPr>
              <w:t>?</w:t>
            </w:r>
          </w:p>
        </w:tc>
      </w:tr>
      <w:tr w:rsidR="00573809" w:rsidRPr="00EB08FF" w14:paraId="049C2E6E"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3D4B161D" w14:textId="77777777" w:rsidR="00356D06" w:rsidRPr="00EB08FF" w:rsidRDefault="001E1DCB">
            <w:pPr>
              <w:pStyle w:val="af"/>
              <w:rPr>
                <w:rFonts w:ascii="Arial" w:hAnsi="Arial" w:cs="Arial"/>
                <w:lang w:val="it-IT"/>
              </w:rPr>
            </w:pPr>
            <w:r w:rsidRPr="00EB08FF">
              <w:rPr>
                <w:rFonts w:ascii="Arial" w:hAnsi="Arial" w:cs="Arial"/>
                <w:lang w:val="it-IT"/>
              </w:rPr>
              <w:t xml:space="preserve">Modulo 2: </w:t>
            </w:r>
            <w:r w:rsidR="004E2A30" w:rsidRPr="00EB08FF">
              <w:rPr>
                <w:rFonts w:ascii="Arial" w:hAnsi="Arial" w:cs="Arial"/>
                <w:lang w:val="it-IT"/>
              </w:rPr>
              <w:t>I p</w:t>
            </w:r>
            <w:r w:rsidRPr="00EB08FF">
              <w:rPr>
                <w:rFonts w:ascii="Arial" w:hAnsi="Arial" w:cs="Arial"/>
                <w:lang w:val="it-IT"/>
              </w:rPr>
              <w:t xml:space="preserve">rincipali problemi di salute quando si </w:t>
            </w:r>
            <w:r w:rsidR="004E2A30" w:rsidRPr="00EB08FF">
              <w:rPr>
                <w:rFonts w:ascii="Arial" w:hAnsi="Arial" w:cs="Arial"/>
                <w:lang w:val="it-IT"/>
              </w:rPr>
              <w:t>arriva</w:t>
            </w:r>
            <w:r w:rsidRPr="00EB08FF">
              <w:rPr>
                <w:rFonts w:ascii="Arial" w:hAnsi="Arial" w:cs="Arial"/>
                <w:lang w:val="it-IT"/>
              </w:rPr>
              <w:t xml:space="preserve"> in un nuovo paese</w:t>
            </w:r>
          </w:p>
        </w:tc>
      </w:tr>
      <w:tr w:rsidR="00573809" w:rsidRPr="00EB08FF" w14:paraId="08A6A718"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6ADE7E8" w14:textId="77777777" w:rsidR="00356D06" w:rsidRPr="00EB08FF" w:rsidRDefault="001E1DCB">
            <w:pPr>
              <w:pStyle w:val="af"/>
              <w:rPr>
                <w:rFonts w:ascii="Arial" w:hAnsi="Arial" w:cs="Arial"/>
                <w:lang w:val="it-IT"/>
              </w:rPr>
            </w:pPr>
            <w:r w:rsidRPr="00EB08FF">
              <w:rPr>
                <w:rFonts w:ascii="Arial" w:hAnsi="Arial" w:cs="Arial"/>
                <w:lang w:val="it-IT"/>
              </w:rPr>
              <w:t xml:space="preserve">Modulo 3: </w:t>
            </w:r>
            <w:r w:rsidR="004E2A30" w:rsidRPr="00EB08FF">
              <w:rPr>
                <w:rFonts w:ascii="Arial" w:hAnsi="Arial" w:cs="Arial"/>
                <w:lang w:val="it-IT"/>
              </w:rPr>
              <w:t xml:space="preserve">I </w:t>
            </w:r>
            <w:r w:rsidRPr="00EB08FF">
              <w:rPr>
                <w:rFonts w:ascii="Arial" w:hAnsi="Arial" w:cs="Arial"/>
                <w:lang w:val="it-IT"/>
              </w:rPr>
              <w:t>S</w:t>
            </w:r>
            <w:r w:rsidR="009E4934" w:rsidRPr="00EB08FF">
              <w:rPr>
                <w:rFonts w:ascii="Arial" w:hAnsi="Arial" w:cs="Arial"/>
                <w:lang w:val="it-IT"/>
              </w:rPr>
              <w:t>ervizi</w:t>
            </w:r>
            <w:r w:rsidR="004E2A30" w:rsidRPr="00EB08FF">
              <w:rPr>
                <w:rFonts w:ascii="Arial" w:hAnsi="Arial" w:cs="Arial"/>
                <w:lang w:val="it-IT"/>
              </w:rPr>
              <w:t xml:space="preserve"> Sanitari Nazionali</w:t>
            </w:r>
          </w:p>
        </w:tc>
      </w:tr>
      <w:tr w:rsidR="00573809" w:rsidRPr="00EB08FF" w14:paraId="4AFB6D59"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C650846" w14:textId="77777777" w:rsidR="00356D06" w:rsidRPr="00EB08FF" w:rsidRDefault="001E1DCB">
            <w:pPr>
              <w:pStyle w:val="af"/>
              <w:rPr>
                <w:rFonts w:ascii="Arial" w:hAnsi="Arial" w:cs="Arial"/>
                <w:lang w:val="it-IT"/>
              </w:rPr>
            </w:pPr>
            <w:r w:rsidRPr="00EB08FF">
              <w:rPr>
                <w:rFonts w:ascii="Arial" w:hAnsi="Arial" w:cs="Arial"/>
                <w:bCs w:val="0"/>
                <w:color w:val="FFFFFF" w:themeColor="background1"/>
                <w:lang w:val="it-IT"/>
              </w:rPr>
              <w:t xml:space="preserve">Modulo 4: Diventare </w:t>
            </w:r>
            <w:r w:rsidR="004E2A30" w:rsidRPr="00EB08FF">
              <w:rPr>
                <w:rFonts w:ascii="Arial" w:hAnsi="Arial" w:cs="Arial"/>
                <w:bCs w:val="0"/>
                <w:color w:val="FFFFFF" w:themeColor="background1"/>
                <w:lang w:val="it-IT"/>
              </w:rPr>
              <w:t xml:space="preserve">digitalmente </w:t>
            </w:r>
            <w:r w:rsidRPr="00EB08FF">
              <w:rPr>
                <w:rFonts w:ascii="Arial" w:hAnsi="Arial" w:cs="Arial"/>
                <w:bCs w:val="0"/>
                <w:color w:val="FFFFFF" w:themeColor="background1"/>
                <w:lang w:val="it-IT"/>
              </w:rPr>
              <w:t xml:space="preserve">alfabetizzati </w:t>
            </w:r>
          </w:p>
        </w:tc>
      </w:tr>
      <w:tr w:rsidR="00573809" w:rsidRPr="00EB08FF" w14:paraId="2B784D8D"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A9EDC5B" w14:textId="77777777" w:rsidR="00356D06" w:rsidRPr="00EB08FF" w:rsidRDefault="001E1DCB">
            <w:pPr>
              <w:pStyle w:val="af"/>
              <w:rPr>
                <w:rFonts w:ascii="Arial" w:hAnsi="Arial" w:cs="Arial"/>
                <w:lang w:val="it-IT"/>
              </w:rPr>
            </w:pPr>
            <w:r w:rsidRPr="00EB08FF">
              <w:rPr>
                <w:rFonts w:ascii="Arial" w:hAnsi="Arial" w:cs="Arial"/>
                <w:lang w:val="it-IT"/>
              </w:rPr>
              <w:t xml:space="preserve">Modulo 5: </w:t>
            </w:r>
            <w:r w:rsidR="005B14F7" w:rsidRPr="00EB08FF">
              <w:rPr>
                <w:rFonts w:ascii="Arial" w:hAnsi="Arial" w:cs="Arial"/>
                <w:lang w:val="it-IT"/>
              </w:rPr>
              <w:t>Esplorare gli strumenti di salute digitale</w:t>
            </w:r>
          </w:p>
        </w:tc>
      </w:tr>
      <w:tr w:rsidR="00573809" w:rsidRPr="00EB08FF" w14:paraId="6405BD5E"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143E06E" w14:textId="77777777" w:rsidR="00356D06" w:rsidRPr="00EB08FF" w:rsidRDefault="001E1DCB">
            <w:pPr>
              <w:pStyle w:val="af"/>
              <w:rPr>
                <w:rFonts w:ascii="Arial" w:hAnsi="Arial" w:cs="Arial"/>
                <w:lang w:val="it-IT"/>
              </w:rPr>
            </w:pPr>
            <w:r w:rsidRPr="00EB08FF">
              <w:rPr>
                <w:rFonts w:ascii="Arial" w:hAnsi="Arial" w:cs="Arial"/>
                <w:lang w:val="it-IT"/>
              </w:rPr>
              <w:t>Modulo 6: Essere attivi nell'ambiente della sa</w:t>
            </w:r>
            <w:r w:rsidR="004E2A30" w:rsidRPr="00EB08FF">
              <w:rPr>
                <w:rFonts w:ascii="Arial" w:hAnsi="Arial" w:cs="Arial"/>
                <w:lang w:val="it-IT"/>
              </w:rPr>
              <w:t>lute</w:t>
            </w:r>
            <w:r w:rsidRPr="00EB08FF">
              <w:rPr>
                <w:rFonts w:ascii="Arial" w:hAnsi="Arial" w:cs="Arial"/>
                <w:lang w:val="it-IT"/>
              </w:rPr>
              <w:t xml:space="preserve"> digitale</w:t>
            </w:r>
          </w:p>
        </w:tc>
      </w:tr>
    </w:tbl>
    <w:p w14:paraId="4B3E9E15" w14:textId="77777777" w:rsidR="00356D06" w:rsidRPr="00EB08FF" w:rsidRDefault="001E1DCB">
      <w:pPr>
        <w:rPr>
          <w:lang w:val="it-IT"/>
        </w:rPr>
      </w:pPr>
      <w:r w:rsidRPr="00EB08FF">
        <w:rPr>
          <w:lang w:val="it-IT" w:eastAsia="en-GB"/>
        </w:rPr>
        <w:t xml:space="preserve">Per ulteriori informazioni, consultare la homepage: </w:t>
      </w:r>
      <w:hyperlink r:id="rId26" w:history="1">
        <w:r w:rsidR="000C35CC" w:rsidRPr="00EB08FF">
          <w:rPr>
            <w:rStyle w:val="-"/>
            <w:lang w:val="it-IT"/>
          </w:rPr>
          <w:t>https://mig-dhl.eu/</w:t>
        </w:r>
      </w:hyperlink>
    </w:p>
    <w:p w14:paraId="3C436ACA" w14:textId="77777777" w:rsidR="00573809" w:rsidRPr="00EB08FF" w:rsidRDefault="00573809" w:rsidP="00573809">
      <w:pPr>
        <w:rPr>
          <w:lang w:val="it-IT" w:eastAsia="en-GB"/>
        </w:rPr>
      </w:pPr>
      <w:r w:rsidRPr="00EB08FF">
        <w:rPr>
          <w:lang w:val="it-IT" w:eastAsia="en-GB"/>
        </w:rPr>
        <w:br w:type="page"/>
      </w:r>
    </w:p>
    <w:p w14:paraId="01649516" w14:textId="77777777" w:rsidR="00573809" w:rsidRPr="00EB08FF" w:rsidRDefault="00573809" w:rsidP="00573809">
      <w:pPr>
        <w:jc w:val="center"/>
        <w:rPr>
          <w:lang w:val="it-IT" w:eastAsia="en-GB"/>
        </w:rPr>
      </w:pPr>
      <w:bookmarkStart w:id="1" w:name="_Hlk18139512"/>
    </w:p>
    <w:p w14:paraId="0AB82E55" w14:textId="77777777" w:rsidR="00356D06" w:rsidRPr="00EB08FF" w:rsidRDefault="001E1DCB">
      <w:pPr>
        <w:jc w:val="center"/>
        <w:rPr>
          <w:b/>
          <w:bCs/>
          <w:color w:val="002060"/>
          <w:lang w:val="it-IT" w:eastAsia="en-GB"/>
        </w:rPr>
      </w:pPr>
      <w:r w:rsidRPr="00EB08FF">
        <w:rPr>
          <w:b/>
          <w:color w:val="002060"/>
          <w:lang w:val="it-IT" w:eastAsia="en-GB"/>
        </w:rPr>
        <w:t>Dichiarazione sul copyright:</w:t>
      </w:r>
      <w:bookmarkEnd w:id="1"/>
    </w:p>
    <w:p w14:paraId="56D63557" w14:textId="77777777" w:rsidR="00573809" w:rsidRPr="00EB08FF" w:rsidRDefault="00573809" w:rsidP="00573809">
      <w:pPr>
        <w:jc w:val="center"/>
        <w:rPr>
          <w:b/>
          <w:bCs/>
          <w:color w:val="002060"/>
          <w:lang w:val="it-IT" w:eastAsia="en-GB"/>
        </w:rPr>
      </w:pPr>
      <w:r w:rsidRPr="00EB08FF">
        <w:rPr>
          <w:b/>
          <w:noProof/>
          <w:color w:val="002060"/>
          <w:lang w:val="it-IT"/>
        </w:rPr>
        <w:drawing>
          <wp:inline distT="0" distB="0" distL="0" distR="0" wp14:anchorId="7569C337" wp14:editId="75731CD3">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2C9345D" w14:textId="77777777" w:rsidR="00356D06" w:rsidRPr="00EB08FF" w:rsidRDefault="001E1DCB">
      <w:pPr>
        <w:jc w:val="center"/>
        <w:rPr>
          <w:lang w:val="it-IT" w:eastAsia="en-GB"/>
        </w:rPr>
      </w:pPr>
      <w:r w:rsidRPr="00EB08FF">
        <w:rPr>
          <w:lang w:val="it-IT"/>
        </w:rPr>
        <w:br/>
      </w:r>
      <w:r w:rsidRPr="00EB08FF">
        <w:rPr>
          <w:lang w:val="it-IT" w:eastAsia="en-GB"/>
        </w:rPr>
        <w:t>Quest'opera è rilasciata con</w:t>
      </w:r>
      <w:r w:rsidR="000C35CC" w:rsidRPr="00EB08FF">
        <w:rPr>
          <w:lang w:val="it-IT" w:eastAsia="en-GB"/>
        </w:rPr>
        <w:t xml:space="preserve"> </w:t>
      </w:r>
      <w:r w:rsidR="000C35CC" w:rsidRPr="00EB08FF">
        <w:rPr>
          <w:i/>
          <w:lang w:val="it-IT" w:eastAsia="en-GB"/>
        </w:rPr>
        <w:t>Creative Commons Attribution-NonCommercial-ShareAlike 4.0 International License</w:t>
      </w:r>
      <w:r w:rsidRPr="00EB08FF">
        <w:rPr>
          <w:lang w:val="it-IT" w:eastAsia="en-GB"/>
        </w:rPr>
        <w:t>. Siete liberi di:</w:t>
      </w:r>
    </w:p>
    <w:p w14:paraId="2BEACF91" w14:textId="77777777" w:rsidR="00356D06" w:rsidRPr="00EB08FF" w:rsidRDefault="000C35CC">
      <w:pPr>
        <w:pStyle w:val="a6"/>
        <w:numPr>
          <w:ilvl w:val="0"/>
          <w:numId w:val="2"/>
        </w:numPr>
        <w:spacing w:before="100" w:beforeAutospacing="1" w:after="200" w:line="312" w:lineRule="auto"/>
        <w:rPr>
          <w:lang w:val="it-IT"/>
        </w:rPr>
      </w:pPr>
      <w:r w:rsidRPr="00EB08FF">
        <w:rPr>
          <w:lang w:val="it-IT"/>
        </w:rPr>
        <w:t>C</w:t>
      </w:r>
      <w:r w:rsidR="001E1DCB" w:rsidRPr="00EB08FF">
        <w:rPr>
          <w:lang w:val="it-IT"/>
        </w:rPr>
        <w:t>ondividere</w:t>
      </w:r>
      <w:r w:rsidRPr="00EB08FF">
        <w:rPr>
          <w:lang w:val="it-IT"/>
        </w:rPr>
        <w:t>,</w:t>
      </w:r>
      <w:r w:rsidR="001E1DCB" w:rsidRPr="00EB08FF">
        <w:rPr>
          <w:lang w:val="it-IT"/>
        </w:rPr>
        <w:t xml:space="preserve"> copiare e ridistribuire il materiale su qualsiasi supporto o formato</w:t>
      </w:r>
    </w:p>
    <w:p w14:paraId="6A29CA36" w14:textId="77777777" w:rsidR="00356D06" w:rsidRPr="00EB08FF" w:rsidRDefault="000C35CC">
      <w:pPr>
        <w:pStyle w:val="a6"/>
        <w:numPr>
          <w:ilvl w:val="0"/>
          <w:numId w:val="2"/>
        </w:numPr>
        <w:spacing w:before="100" w:beforeAutospacing="1" w:after="200" w:line="312" w:lineRule="auto"/>
        <w:rPr>
          <w:lang w:val="it-IT"/>
        </w:rPr>
      </w:pPr>
      <w:r w:rsidRPr="00EB08FF">
        <w:rPr>
          <w:lang w:val="it-IT"/>
        </w:rPr>
        <w:t>A</w:t>
      </w:r>
      <w:r w:rsidR="001E1DCB" w:rsidRPr="00EB08FF">
        <w:rPr>
          <w:lang w:val="it-IT"/>
        </w:rPr>
        <w:t xml:space="preserve">dattare, trasformare e </w:t>
      </w:r>
      <w:r w:rsidRPr="00EB08FF">
        <w:rPr>
          <w:lang w:val="it-IT"/>
        </w:rPr>
        <w:t>implementare il</w:t>
      </w:r>
      <w:r w:rsidR="001E1DCB" w:rsidRPr="00EB08FF">
        <w:rPr>
          <w:lang w:val="it-IT"/>
        </w:rPr>
        <w:t xml:space="preserve"> materiale</w:t>
      </w:r>
      <w:r w:rsidRPr="00EB08FF">
        <w:rPr>
          <w:lang w:val="it-IT"/>
        </w:rPr>
        <w:t xml:space="preserve"> </w:t>
      </w:r>
    </w:p>
    <w:p w14:paraId="603F5FF8" w14:textId="77777777" w:rsidR="00356D06" w:rsidRPr="00EB08FF" w:rsidRDefault="001E1DCB">
      <w:pPr>
        <w:rPr>
          <w:color w:val="262626" w:themeColor="text1" w:themeTint="D9"/>
          <w:lang w:val="it-IT"/>
        </w:rPr>
      </w:pPr>
      <w:r w:rsidRPr="00EB08FF">
        <w:rPr>
          <w:color w:val="262626" w:themeColor="text1" w:themeTint="D9"/>
          <w:lang w:val="it-IT"/>
        </w:rPr>
        <w:t>alle seguenti condizioni:</w:t>
      </w:r>
    </w:p>
    <w:p w14:paraId="7A518B93" w14:textId="77777777" w:rsidR="00356D06" w:rsidRPr="00EB08FF" w:rsidRDefault="001E1DCB">
      <w:pPr>
        <w:pStyle w:val="a6"/>
        <w:numPr>
          <w:ilvl w:val="0"/>
          <w:numId w:val="2"/>
        </w:numPr>
        <w:spacing w:before="100" w:beforeAutospacing="1" w:after="200" w:line="312" w:lineRule="auto"/>
        <w:rPr>
          <w:lang w:val="it-IT"/>
        </w:rPr>
      </w:pPr>
      <w:r w:rsidRPr="00EB08FF">
        <w:rPr>
          <w:rFonts w:eastAsia="MyriadPro-Regular"/>
          <w:u w:val="single"/>
          <w:lang w:val="it-IT" w:eastAsia="en-US"/>
        </w:rPr>
        <w:t>Attribuzione</w:t>
      </w:r>
      <w:r w:rsidRPr="00EB08FF">
        <w:rPr>
          <w:rFonts w:eastAsia="MyriadPro-Regular"/>
          <w:lang w:val="it-IT" w:eastAsia="en-US"/>
        </w:rPr>
        <w:t xml:space="preserve"> - È necessario dare il giusto credito, fornire un link alla licenza e indicare se sono state apportate modifiche. Potete farlo in qualsiasi modo ragionevole, ma non in modo da suggerire che il licenziante approvi voi o il vostro uso.</w:t>
      </w:r>
    </w:p>
    <w:p w14:paraId="2564887B" w14:textId="77777777" w:rsidR="00356D06" w:rsidRPr="00EB08FF" w:rsidRDefault="001E1DCB">
      <w:pPr>
        <w:pStyle w:val="a6"/>
        <w:numPr>
          <w:ilvl w:val="0"/>
          <w:numId w:val="2"/>
        </w:numPr>
        <w:spacing w:before="100" w:beforeAutospacing="1" w:after="200" w:line="312" w:lineRule="auto"/>
        <w:rPr>
          <w:lang w:val="it-IT"/>
        </w:rPr>
      </w:pPr>
      <w:r w:rsidRPr="00EB08FF">
        <w:rPr>
          <w:u w:val="single"/>
          <w:lang w:val="it-IT"/>
        </w:rPr>
        <w:t>Non commerciale</w:t>
      </w:r>
      <w:r w:rsidRPr="00EB08FF">
        <w:rPr>
          <w:lang w:val="it-IT"/>
        </w:rPr>
        <w:t xml:space="preserve"> - Non è consentito utilizzare il materiale per scopi commerciali.</w:t>
      </w:r>
    </w:p>
    <w:p w14:paraId="1CD496C0" w14:textId="77777777" w:rsidR="00356D06" w:rsidRPr="00EB08FF" w:rsidRDefault="001E1DCB">
      <w:pPr>
        <w:pStyle w:val="a6"/>
        <w:numPr>
          <w:ilvl w:val="0"/>
          <w:numId w:val="2"/>
        </w:numPr>
        <w:spacing w:before="100" w:beforeAutospacing="1" w:after="200" w:line="312" w:lineRule="auto"/>
        <w:rPr>
          <w:lang w:val="it-IT"/>
        </w:rPr>
      </w:pPr>
      <w:r w:rsidRPr="00EB08FF">
        <w:rPr>
          <w:u w:val="single"/>
          <w:lang w:val="it-IT"/>
        </w:rPr>
        <w:t>ShareAlike</w:t>
      </w:r>
      <w:r w:rsidRPr="00EB08FF">
        <w:rPr>
          <w:lang w:val="it-IT"/>
        </w:rPr>
        <w:t xml:space="preserve"> </w:t>
      </w:r>
      <w:r w:rsidR="000C35CC" w:rsidRPr="00EB08FF">
        <w:rPr>
          <w:lang w:val="it-IT"/>
        </w:rPr>
        <w:t>–</w:t>
      </w:r>
      <w:r w:rsidRPr="00EB08FF">
        <w:rPr>
          <w:lang w:val="it-IT"/>
        </w:rPr>
        <w:t xml:space="preserve"> Se</w:t>
      </w:r>
      <w:r w:rsidR="000C35CC" w:rsidRPr="00EB08FF">
        <w:rPr>
          <w:lang w:val="it-IT"/>
        </w:rPr>
        <w:t xml:space="preserve"> adattate</w:t>
      </w:r>
      <w:r w:rsidRPr="00EB08FF">
        <w:rPr>
          <w:lang w:val="it-IT"/>
        </w:rPr>
        <w:t xml:space="preserve">, trasformate o </w:t>
      </w:r>
      <w:r w:rsidR="000C35CC" w:rsidRPr="00EB08FF">
        <w:rPr>
          <w:lang w:val="it-IT"/>
        </w:rPr>
        <w:t>implementate i</w:t>
      </w:r>
      <w:r w:rsidRPr="00EB08FF">
        <w:rPr>
          <w:lang w:val="it-IT"/>
        </w:rPr>
        <w:t>l materiale, dovete distribuire i vostri contributi con la stessa licenza dell'originale.</w:t>
      </w:r>
    </w:p>
    <w:p w14:paraId="22A802D7" w14:textId="77777777" w:rsidR="00573809" w:rsidRPr="00EB08FF" w:rsidRDefault="00573809" w:rsidP="00573809">
      <w:pPr>
        <w:rPr>
          <w:lang w:val="it-IT" w:eastAsia="en-GB"/>
        </w:rPr>
      </w:pPr>
    </w:p>
    <w:p w14:paraId="2281C9B3" w14:textId="77777777" w:rsidR="00573809" w:rsidRPr="00EB08FF" w:rsidRDefault="00573809" w:rsidP="00573809">
      <w:pPr>
        <w:pBdr>
          <w:top w:val="nil"/>
          <w:left w:val="nil"/>
          <w:bottom w:val="nil"/>
          <w:right w:val="nil"/>
          <w:between w:val="nil"/>
        </w:pBdr>
        <w:rPr>
          <w:color w:val="000000"/>
          <w:szCs w:val="24"/>
          <w:lang w:val="it-IT"/>
        </w:rPr>
      </w:pPr>
    </w:p>
    <w:p w14:paraId="68239877" w14:textId="77777777" w:rsidR="00573809" w:rsidRPr="00EB08FF" w:rsidRDefault="00573809" w:rsidP="00573809">
      <w:pPr>
        <w:pBdr>
          <w:top w:val="nil"/>
          <w:left w:val="nil"/>
          <w:bottom w:val="nil"/>
          <w:right w:val="nil"/>
          <w:between w:val="nil"/>
        </w:pBdr>
        <w:rPr>
          <w:color w:val="000000"/>
          <w:szCs w:val="24"/>
          <w:lang w:val="it-IT"/>
        </w:rPr>
      </w:pPr>
    </w:p>
    <w:p w14:paraId="389CEF2A" w14:textId="77777777" w:rsidR="00573809" w:rsidRPr="00EB08FF" w:rsidRDefault="00573809" w:rsidP="00573809">
      <w:pPr>
        <w:pBdr>
          <w:top w:val="nil"/>
          <w:left w:val="nil"/>
          <w:bottom w:val="nil"/>
          <w:right w:val="nil"/>
          <w:between w:val="nil"/>
        </w:pBdr>
        <w:rPr>
          <w:color w:val="000000"/>
          <w:szCs w:val="24"/>
          <w:lang w:val="it-IT"/>
        </w:rPr>
      </w:pPr>
    </w:p>
    <w:p w14:paraId="778FE13E" w14:textId="77777777" w:rsidR="00573809" w:rsidRPr="00EB08FF" w:rsidRDefault="00573809" w:rsidP="00573809">
      <w:pPr>
        <w:pBdr>
          <w:top w:val="nil"/>
          <w:left w:val="nil"/>
          <w:bottom w:val="nil"/>
          <w:right w:val="nil"/>
          <w:between w:val="nil"/>
        </w:pBdr>
        <w:rPr>
          <w:color w:val="000000"/>
          <w:szCs w:val="24"/>
          <w:lang w:val="it-IT"/>
        </w:rPr>
      </w:pPr>
    </w:p>
    <w:p w14:paraId="65C0F032" w14:textId="77777777" w:rsidR="00FD1591" w:rsidRPr="00EB08FF" w:rsidRDefault="00FD1591">
      <w:pPr>
        <w:rPr>
          <w:sz w:val="24"/>
          <w:szCs w:val="24"/>
          <w:lang w:val="it-IT"/>
        </w:rPr>
      </w:pPr>
    </w:p>
    <w:p w14:paraId="35CBA4ED" w14:textId="77777777" w:rsidR="00FD1591" w:rsidRPr="00EB08FF" w:rsidRDefault="00FD1591">
      <w:pPr>
        <w:rPr>
          <w:sz w:val="24"/>
          <w:szCs w:val="24"/>
          <w:lang w:val="it-IT"/>
        </w:rPr>
      </w:pPr>
    </w:p>
    <w:p w14:paraId="6082EE1D" w14:textId="77777777" w:rsidR="00FD1591" w:rsidRPr="00EB08FF" w:rsidRDefault="00FD1591">
      <w:pPr>
        <w:rPr>
          <w:sz w:val="24"/>
          <w:szCs w:val="24"/>
          <w:lang w:val="it-IT"/>
        </w:rPr>
      </w:pPr>
    </w:p>
    <w:p w14:paraId="19F5BC75" w14:textId="77777777" w:rsidR="00FD1591" w:rsidRPr="00EB08FF" w:rsidRDefault="00FD1591">
      <w:pPr>
        <w:pBdr>
          <w:top w:val="nil"/>
          <w:left w:val="nil"/>
          <w:bottom w:val="nil"/>
          <w:right w:val="nil"/>
          <w:between w:val="nil"/>
        </w:pBdr>
        <w:rPr>
          <w:color w:val="000000"/>
          <w:sz w:val="24"/>
          <w:szCs w:val="24"/>
          <w:lang w:val="it-IT"/>
        </w:rPr>
      </w:pPr>
      <w:bookmarkStart w:id="2" w:name="_heading=h.gjdgxs" w:colFirst="0" w:colLast="0"/>
      <w:bookmarkEnd w:id="2"/>
    </w:p>
    <w:p w14:paraId="034B99E4" w14:textId="77777777" w:rsidR="00356D06" w:rsidRPr="00EB08FF" w:rsidRDefault="001E1DCB">
      <w:pPr>
        <w:keepNext/>
        <w:keepLines/>
        <w:pBdr>
          <w:top w:val="nil"/>
          <w:left w:val="nil"/>
          <w:bottom w:val="nil"/>
          <w:right w:val="nil"/>
          <w:between w:val="nil"/>
        </w:pBdr>
        <w:spacing w:before="240" w:after="0" w:line="259" w:lineRule="auto"/>
        <w:jc w:val="left"/>
        <w:rPr>
          <w:b/>
          <w:color w:val="000000"/>
          <w:sz w:val="24"/>
          <w:szCs w:val="24"/>
          <w:lang w:val="it-IT"/>
        </w:rPr>
      </w:pPr>
      <w:r w:rsidRPr="00EB08FF">
        <w:rPr>
          <w:b/>
          <w:color w:val="000000"/>
          <w:sz w:val="24"/>
          <w:szCs w:val="24"/>
          <w:lang w:val="it-IT"/>
        </w:rPr>
        <w:lastRenderedPageBreak/>
        <w:t>Contenuto</w:t>
      </w:r>
    </w:p>
    <w:sdt>
      <w:sdtPr>
        <w:rPr>
          <w:lang w:val="it-IT"/>
        </w:rPr>
        <w:id w:val="-1998322749"/>
        <w:docPartObj>
          <w:docPartGallery w:val="Table of Contents"/>
          <w:docPartUnique/>
        </w:docPartObj>
      </w:sdtPr>
      <w:sdtContent>
        <w:p w14:paraId="065B7AF3" w14:textId="1E3020DA" w:rsidR="00356D06" w:rsidRPr="00EB08FF" w:rsidRDefault="000C74B4">
          <w:pPr>
            <w:pStyle w:val="10"/>
            <w:tabs>
              <w:tab w:val="right" w:pos="9062"/>
            </w:tabs>
            <w:rPr>
              <w:rFonts w:asciiTheme="minorHAnsi" w:eastAsiaTheme="minorEastAsia" w:hAnsiTheme="minorHAnsi" w:cstheme="minorBidi"/>
              <w:lang w:val="it-IT"/>
            </w:rPr>
          </w:pPr>
          <w:r w:rsidRPr="00EB08FF">
            <w:rPr>
              <w:lang w:val="it-IT"/>
            </w:rPr>
            <w:fldChar w:fldCharType="begin"/>
          </w:r>
          <w:r w:rsidR="001E1DCB" w:rsidRPr="00EB08FF">
            <w:rPr>
              <w:lang w:val="it-IT"/>
            </w:rPr>
            <w:instrText xml:space="preserve"> TOC \h \u \z </w:instrText>
          </w:r>
          <w:r w:rsidRPr="00EB08FF">
            <w:rPr>
              <w:lang w:val="it-IT"/>
            </w:rPr>
            <w:fldChar w:fldCharType="separate"/>
          </w:r>
          <w:hyperlink w:anchor="_Toc103249335" w:history="1">
            <w:r w:rsidR="00573809" w:rsidRPr="00EB08FF">
              <w:rPr>
                <w:rStyle w:val="-"/>
                <w:lang w:val="it-IT"/>
              </w:rPr>
              <w:t>Introduzione</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_Toc103249335 \h </w:instrText>
            </w:r>
            <w:r w:rsidR="00573809" w:rsidRPr="00EB08FF">
              <w:rPr>
                <w:webHidden/>
                <w:lang w:val="it-IT"/>
              </w:rPr>
            </w:r>
            <w:r w:rsidR="00573809" w:rsidRPr="00EB08FF">
              <w:rPr>
                <w:webHidden/>
                <w:lang w:val="it-IT"/>
              </w:rPr>
              <w:fldChar w:fldCharType="separate"/>
            </w:r>
            <w:r w:rsidR="009D0C06">
              <w:rPr>
                <w:noProof/>
                <w:webHidden/>
                <w:lang w:val="it-IT"/>
              </w:rPr>
              <w:t>1</w:t>
            </w:r>
            <w:r w:rsidR="00573809" w:rsidRPr="00EB08FF">
              <w:rPr>
                <w:webHidden/>
                <w:lang w:val="it-IT"/>
              </w:rPr>
              <w:fldChar w:fldCharType="end"/>
            </w:r>
          </w:hyperlink>
        </w:p>
        <w:p w14:paraId="7E887BD1" w14:textId="6584F8EA" w:rsidR="00356D06" w:rsidRPr="00EB08FF" w:rsidRDefault="00000000">
          <w:pPr>
            <w:pStyle w:val="10"/>
            <w:tabs>
              <w:tab w:val="right" w:pos="9062"/>
            </w:tabs>
            <w:rPr>
              <w:rFonts w:asciiTheme="minorHAnsi" w:eastAsiaTheme="minorEastAsia" w:hAnsiTheme="minorHAnsi" w:cstheme="minorBidi"/>
              <w:lang w:val="it-IT"/>
            </w:rPr>
          </w:pPr>
          <w:hyperlink w:anchor="_Toc103249336" w:history="1">
            <w:r w:rsidR="00573809" w:rsidRPr="00EB08FF">
              <w:rPr>
                <w:rStyle w:val="-"/>
                <w:lang w:val="it-IT"/>
              </w:rPr>
              <w:t xml:space="preserve">1. Che cos'è l'alfabetizzazione sanitaria digitale e la sua </w:t>
            </w:r>
            <w:r w:rsidR="000C35CC" w:rsidRPr="00EB08FF">
              <w:rPr>
                <w:rStyle w:val="-"/>
                <w:lang w:val="it-IT"/>
              </w:rPr>
              <w:t>importanza</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_Toc103249336 \h </w:instrText>
            </w:r>
            <w:r w:rsidR="00573809" w:rsidRPr="00EB08FF">
              <w:rPr>
                <w:webHidden/>
                <w:lang w:val="it-IT"/>
              </w:rPr>
            </w:r>
            <w:r w:rsidR="00573809" w:rsidRPr="00EB08FF">
              <w:rPr>
                <w:webHidden/>
                <w:lang w:val="it-IT"/>
              </w:rPr>
              <w:fldChar w:fldCharType="separate"/>
            </w:r>
            <w:r w:rsidR="009D0C06">
              <w:rPr>
                <w:noProof/>
                <w:webHidden/>
                <w:lang w:val="it-IT"/>
              </w:rPr>
              <w:t>2</w:t>
            </w:r>
            <w:r w:rsidR="00573809" w:rsidRPr="00EB08FF">
              <w:rPr>
                <w:webHidden/>
                <w:lang w:val="it-IT"/>
              </w:rPr>
              <w:fldChar w:fldCharType="end"/>
            </w:r>
          </w:hyperlink>
        </w:p>
        <w:p w14:paraId="5502F2F5" w14:textId="05145F5D" w:rsidR="00356D06" w:rsidRPr="00EB08FF" w:rsidRDefault="00000000">
          <w:pPr>
            <w:pStyle w:val="20"/>
            <w:tabs>
              <w:tab w:val="right" w:pos="9062"/>
            </w:tabs>
            <w:rPr>
              <w:rFonts w:asciiTheme="minorHAnsi" w:eastAsiaTheme="minorEastAsia" w:hAnsiTheme="minorHAnsi" w:cstheme="minorBidi"/>
              <w:lang w:val="it-IT"/>
            </w:rPr>
          </w:pPr>
          <w:hyperlink w:anchor="_Toc103249337" w:history="1">
            <w:r w:rsidR="00573809" w:rsidRPr="00EB08FF">
              <w:rPr>
                <w:rStyle w:val="-"/>
                <w:lang w:val="it-IT"/>
              </w:rPr>
              <w:t>1.1 Il Programma ERASMUS+.</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_Toc103249337 \h </w:instrText>
            </w:r>
            <w:r w:rsidR="00573809" w:rsidRPr="00EB08FF">
              <w:rPr>
                <w:webHidden/>
                <w:lang w:val="it-IT"/>
              </w:rPr>
            </w:r>
            <w:r w:rsidR="00573809" w:rsidRPr="00EB08FF">
              <w:rPr>
                <w:webHidden/>
                <w:lang w:val="it-IT"/>
              </w:rPr>
              <w:fldChar w:fldCharType="separate"/>
            </w:r>
            <w:r w:rsidR="009D0C06">
              <w:rPr>
                <w:noProof/>
                <w:webHidden/>
                <w:lang w:val="it-IT"/>
              </w:rPr>
              <w:t>2</w:t>
            </w:r>
            <w:r w:rsidR="00573809" w:rsidRPr="00EB08FF">
              <w:rPr>
                <w:webHidden/>
                <w:lang w:val="it-IT"/>
              </w:rPr>
              <w:fldChar w:fldCharType="end"/>
            </w:r>
          </w:hyperlink>
        </w:p>
        <w:p w14:paraId="6D2F7D3D" w14:textId="510EDEE4" w:rsidR="00356D06" w:rsidRPr="00EB08FF" w:rsidRDefault="00000000">
          <w:pPr>
            <w:pStyle w:val="20"/>
            <w:tabs>
              <w:tab w:val="right" w:pos="9062"/>
            </w:tabs>
            <w:rPr>
              <w:rFonts w:asciiTheme="minorHAnsi" w:eastAsiaTheme="minorEastAsia" w:hAnsiTheme="minorHAnsi" w:cstheme="minorBidi"/>
              <w:lang w:val="it-IT"/>
            </w:rPr>
          </w:pPr>
          <w:hyperlink w:anchor="_Toc103249338" w:history="1">
            <w:r w:rsidR="00573809" w:rsidRPr="00EB08FF">
              <w:rPr>
                <w:rStyle w:val="-"/>
                <w:lang w:val="it-IT"/>
              </w:rPr>
              <w:t>1.2 Concetto di alfabetizzazione sanitaria digitale</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_Toc103249338 \h </w:instrText>
            </w:r>
            <w:r w:rsidR="00573809" w:rsidRPr="00EB08FF">
              <w:rPr>
                <w:webHidden/>
                <w:lang w:val="it-IT"/>
              </w:rPr>
            </w:r>
            <w:r w:rsidR="00573809" w:rsidRPr="00EB08FF">
              <w:rPr>
                <w:webHidden/>
                <w:lang w:val="it-IT"/>
              </w:rPr>
              <w:fldChar w:fldCharType="separate"/>
            </w:r>
            <w:r w:rsidR="009D0C06">
              <w:rPr>
                <w:noProof/>
                <w:webHidden/>
                <w:lang w:val="it-IT"/>
              </w:rPr>
              <w:t>3</w:t>
            </w:r>
            <w:r w:rsidR="00573809" w:rsidRPr="00EB08FF">
              <w:rPr>
                <w:webHidden/>
                <w:lang w:val="it-IT"/>
              </w:rPr>
              <w:fldChar w:fldCharType="end"/>
            </w:r>
          </w:hyperlink>
        </w:p>
        <w:p w14:paraId="51E47E00" w14:textId="34F54459" w:rsidR="00356D06" w:rsidRPr="00EB08FF" w:rsidRDefault="00000000">
          <w:pPr>
            <w:pStyle w:val="20"/>
            <w:tabs>
              <w:tab w:val="right" w:pos="9062"/>
            </w:tabs>
            <w:rPr>
              <w:rFonts w:asciiTheme="minorHAnsi" w:eastAsiaTheme="minorEastAsia" w:hAnsiTheme="minorHAnsi" w:cstheme="minorBidi"/>
              <w:lang w:val="it-IT"/>
            </w:rPr>
          </w:pPr>
          <w:hyperlink w:anchor="_Toc103249339" w:history="1">
            <w:r w:rsidR="00573809" w:rsidRPr="00EB08FF">
              <w:rPr>
                <w:rStyle w:val="-"/>
                <w:lang w:val="it-IT"/>
              </w:rPr>
              <w:t>1.3 La rilevanza della Digital Health Literacy per i migranti</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_Toc103249339 \h </w:instrText>
            </w:r>
            <w:r w:rsidR="00573809" w:rsidRPr="00EB08FF">
              <w:rPr>
                <w:webHidden/>
                <w:lang w:val="it-IT"/>
              </w:rPr>
            </w:r>
            <w:r w:rsidR="00573809" w:rsidRPr="00EB08FF">
              <w:rPr>
                <w:webHidden/>
                <w:lang w:val="it-IT"/>
              </w:rPr>
              <w:fldChar w:fldCharType="separate"/>
            </w:r>
            <w:r w:rsidR="009D0C06">
              <w:rPr>
                <w:noProof/>
                <w:webHidden/>
                <w:lang w:val="it-IT"/>
              </w:rPr>
              <w:t>5</w:t>
            </w:r>
            <w:r w:rsidR="00573809" w:rsidRPr="00EB08FF">
              <w:rPr>
                <w:webHidden/>
                <w:lang w:val="it-IT"/>
              </w:rPr>
              <w:fldChar w:fldCharType="end"/>
            </w:r>
          </w:hyperlink>
        </w:p>
        <w:p w14:paraId="45C2B51E" w14:textId="38FC0EFD" w:rsidR="00356D06" w:rsidRPr="00EB08FF" w:rsidRDefault="00000000">
          <w:pPr>
            <w:pStyle w:val="10"/>
            <w:tabs>
              <w:tab w:val="right" w:pos="9062"/>
            </w:tabs>
            <w:rPr>
              <w:rFonts w:asciiTheme="minorHAnsi" w:eastAsiaTheme="minorEastAsia" w:hAnsiTheme="minorHAnsi" w:cstheme="minorBidi"/>
              <w:lang w:val="it-IT"/>
            </w:rPr>
          </w:pPr>
          <w:hyperlink w:anchor="_Toc103249340" w:history="1">
            <w:r w:rsidR="00573809" w:rsidRPr="00EB08FF">
              <w:rPr>
                <w:rStyle w:val="-"/>
                <w:lang w:val="it-IT"/>
              </w:rPr>
              <w:t>Riferimenti</w:t>
            </w:r>
            <w:r w:rsidR="00573809" w:rsidRPr="00EB08FF">
              <w:rPr>
                <w:webHidden/>
                <w:lang w:val="it-IT"/>
              </w:rPr>
              <w:tab/>
            </w:r>
            <w:r w:rsidR="00573809" w:rsidRPr="00EB08FF">
              <w:rPr>
                <w:webHidden/>
                <w:lang w:val="it-IT"/>
              </w:rPr>
              <w:fldChar w:fldCharType="begin"/>
            </w:r>
            <w:r w:rsidR="00573809" w:rsidRPr="00EB08FF">
              <w:rPr>
                <w:webHidden/>
                <w:lang w:val="it-IT"/>
              </w:rPr>
              <w:instrText xml:space="preserve"> PAGEREF _Toc103249340 \h </w:instrText>
            </w:r>
            <w:r w:rsidR="00573809" w:rsidRPr="00EB08FF">
              <w:rPr>
                <w:webHidden/>
                <w:lang w:val="it-IT"/>
              </w:rPr>
            </w:r>
            <w:r w:rsidR="00573809" w:rsidRPr="00EB08FF">
              <w:rPr>
                <w:webHidden/>
                <w:lang w:val="it-IT"/>
              </w:rPr>
              <w:fldChar w:fldCharType="separate"/>
            </w:r>
            <w:r w:rsidR="009D0C06">
              <w:rPr>
                <w:noProof/>
                <w:webHidden/>
                <w:lang w:val="it-IT"/>
              </w:rPr>
              <w:t>8</w:t>
            </w:r>
            <w:r w:rsidR="00573809" w:rsidRPr="00EB08FF">
              <w:rPr>
                <w:webHidden/>
                <w:lang w:val="it-IT"/>
              </w:rPr>
              <w:fldChar w:fldCharType="end"/>
            </w:r>
          </w:hyperlink>
        </w:p>
        <w:p w14:paraId="59AB280C" w14:textId="77777777" w:rsidR="00FD1591" w:rsidRPr="00EB08FF" w:rsidRDefault="000C74B4">
          <w:pPr>
            <w:rPr>
              <w:lang w:val="it-IT"/>
            </w:rPr>
          </w:pPr>
          <w:r w:rsidRPr="00EB08FF">
            <w:rPr>
              <w:lang w:val="it-IT"/>
            </w:rPr>
            <w:fldChar w:fldCharType="end"/>
          </w:r>
        </w:p>
      </w:sdtContent>
    </w:sdt>
    <w:p w14:paraId="421E7947" w14:textId="77777777" w:rsidR="00573809" w:rsidRPr="00EB08FF" w:rsidRDefault="00573809">
      <w:pPr>
        <w:rPr>
          <w:lang w:val="it-IT"/>
        </w:rPr>
        <w:sectPr w:rsidR="00573809" w:rsidRPr="00EB08FF">
          <w:headerReference w:type="default" r:id="rId28"/>
          <w:footerReference w:type="default" r:id="rId29"/>
          <w:pgSz w:w="11906" w:h="16838"/>
          <w:pgMar w:top="1417" w:right="1417" w:bottom="1134" w:left="1417" w:header="708" w:footer="708" w:gutter="0"/>
          <w:pgNumType w:start="1"/>
          <w:cols w:space="720"/>
        </w:sectPr>
      </w:pPr>
    </w:p>
    <w:p w14:paraId="261F8118" w14:textId="77777777" w:rsidR="00356D06" w:rsidRPr="00EB08FF" w:rsidRDefault="001E1DCB">
      <w:pPr>
        <w:pStyle w:val="1"/>
        <w:rPr>
          <w:sz w:val="28"/>
          <w:szCs w:val="28"/>
          <w:lang w:val="it-IT"/>
        </w:rPr>
      </w:pPr>
      <w:bookmarkStart w:id="3" w:name="_Toc103249335"/>
      <w:r w:rsidRPr="00EB08FF">
        <w:rPr>
          <w:sz w:val="28"/>
          <w:szCs w:val="28"/>
          <w:lang w:val="it-IT"/>
        </w:rPr>
        <w:lastRenderedPageBreak/>
        <w:t>Introduzione</w:t>
      </w:r>
      <w:bookmarkEnd w:id="3"/>
    </w:p>
    <w:p w14:paraId="21A84991" w14:textId="77777777" w:rsidR="00356D06" w:rsidRPr="00EB08FF" w:rsidRDefault="001E1DCB">
      <w:pPr>
        <w:rPr>
          <w:sz w:val="24"/>
          <w:szCs w:val="24"/>
          <w:lang w:val="it-IT"/>
        </w:rPr>
      </w:pPr>
      <w:r w:rsidRPr="00EB08FF">
        <w:rPr>
          <w:sz w:val="24"/>
          <w:szCs w:val="24"/>
          <w:lang w:val="it-IT"/>
        </w:rPr>
        <w:t>Il seguente manuale fa parte dell'output intellettuale 2 del progetto MIG-DHL. Questo manuale copre tutti i sei moduli:</w:t>
      </w:r>
    </w:p>
    <w:p w14:paraId="501AFCF7" w14:textId="77777777" w:rsidR="00356D06" w:rsidRPr="00EB08FF" w:rsidRDefault="001E1DCB">
      <w:pPr>
        <w:numPr>
          <w:ilvl w:val="0"/>
          <w:numId w:val="1"/>
        </w:numPr>
        <w:pBdr>
          <w:top w:val="nil"/>
          <w:left w:val="nil"/>
          <w:bottom w:val="nil"/>
          <w:right w:val="nil"/>
          <w:between w:val="nil"/>
        </w:pBdr>
        <w:spacing w:after="0"/>
        <w:rPr>
          <w:b/>
          <w:color w:val="000000"/>
          <w:sz w:val="24"/>
          <w:szCs w:val="24"/>
          <w:lang w:val="it-IT"/>
        </w:rPr>
      </w:pPr>
      <w:r w:rsidRPr="00EB08FF">
        <w:rPr>
          <w:b/>
          <w:color w:val="000000"/>
          <w:sz w:val="24"/>
          <w:szCs w:val="24"/>
          <w:lang w:val="it-IT"/>
        </w:rPr>
        <w:t xml:space="preserve">Che cos'è la </w:t>
      </w:r>
      <w:r w:rsidRPr="00EB08FF">
        <w:rPr>
          <w:b/>
          <w:i/>
          <w:color w:val="000000"/>
          <w:sz w:val="24"/>
          <w:szCs w:val="24"/>
          <w:lang w:val="it-IT"/>
        </w:rPr>
        <w:t>Digital Health Literacy</w:t>
      </w:r>
      <w:r w:rsidRPr="00EB08FF">
        <w:rPr>
          <w:b/>
          <w:color w:val="000000"/>
          <w:sz w:val="24"/>
          <w:szCs w:val="24"/>
          <w:lang w:val="it-IT"/>
        </w:rPr>
        <w:t>?</w:t>
      </w:r>
    </w:p>
    <w:p w14:paraId="36677FE6" w14:textId="77777777" w:rsidR="00356D06" w:rsidRPr="00EB08FF" w:rsidRDefault="005B14F7">
      <w:pPr>
        <w:numPr>
          <w:ilvl w:val="0"/>
          <w:numId w:val="1"/>
        </w:numPr>
        <w:pBdr>
          <w:top w:val="nil"/>
          <w:left w:val="nil"/>
          <w:bottom w:val="nil"/>
          <w:right w:val="nil"/>
          <w:between w:val="nil"/>
        </w:pBdr>
        <w:spacing w:after="0"/>
        <w:rPr>
          <w:color w:val="000000"/>
          <w:sz w:val="24"/>
          <w:szCs w:val="24"/>
          <w:lang w:val="it-IT"/>
        </w:rPr>
      </w:pPr>
      <w:r w:rsidRPr="00EB08FF">
        <w:rPr>
          <w:color w:val="000000"/>
          <w:sz w:val="24"/>
          <w:szCs w:val="24"/>
          <w:lang w:val="it-IT"/>
        </w:rPr>
        <w:t>I p</w:t>
      </w:r>
      <w:r w:rsidR="001E1DCB" w:rsidRPr="00EB08FF">
        <w:rPr>
          <w:color w:val="000000"/>
          <w:sz w:val="24"/>
          <w:szCs w:val="24"/>
          <w:lang w:val="it-IT"/>
        </w:rPr>
        <w:t xml:space="preserve">rincipali problemi di salute quando si </w:t>
      </w:r>
      <w:r w:rsidRPr="00EB08FF">
        <w:rPr>
          <w:color w:val="000000"/>
          <w:sz w:val="24"/>
          <w:szCs w:val="24"/>
          <w:lang w:val="it-IT"/>
        </w:rPr>
        <w:t>arriva</w:t>
      </w:r>
      <w:r w:rsidR="001E1DCB" w:rsidRPr="00EB08FF">
        <w:rPr>
          <w:color w:val="000000"/>
          <w:sz w:val="24"/>
          <w:szCs w:val="24"/>
          <w:lang w:val="it-IT"/>
        </w:rPr>
        <w:t xml:space="preserve"> in un nuovo paese</w:t>
      </w:r>
    </w:p>
    <w:p w14:paraId="3BA2712C" w14:textId="77777777" w:rsidR="00356D06" w:rsidRPr="00EB08FF" w:rsidRDefault="005B14F7">
      <w:pPr>
        <w:numPr>
          <w:ilvl w:val="0"/>
          <w:numId w:val="1"/>
        </w:numPr>
        <w:pBdr>
          <w:top w:val="nil"/>
          <w:left w:val="nil"/>
          <w:bottom w:val="nil"/>
          <w:right w:val="nil"/>
          <w:between w:val="nil"/>
        </w:pBdr>
        <w:spacing w:after="0"/>
        <w:rPr>
          <w:color w:val="000000"/>
          <w:sz w:val="24"/>
          <w:szCs w:val="24"/>
          <w:lang w:val="it-IT"/>
        </w:rPr>
      </w:pPr>
      <w:r w:rsidRPr="00EB08FF">
        <w:rPr>
          <w:color w:val="000000"/>
          <w:sz w:val="24"/>
          <w:szCs w:val="24"/>
          <w:lang w:val="it-IT"/>
        </w:rPr>
        <w:t xml:space="preserve">I </w:t>
      </w:r>
      <w:r w:rsidR="001E1DCB" w:rsidRPr="00EB08FF">
        <w:rPr>
          <w:color w:val="000000"/>
          <w:sz w:val="24"/>
          <w:szCs w:val="24"/>
          <w:lang w:val="it-IT"/>
        </w:rPr>
        <w:t xml:space="preserve">Servizi </w:t>
      </w:r>
      <w:r w:rsidRPr="00EB08FF">
        <w:rPr>
          <w:color w:val="000000"/>
          <w:sz w:val="24"/>
          <w:szCs w:val="24"/>
          <w:lang w:val="it-IT"/>
        </w:rPr>
        <w:t>S</w:t>
      </w:r>
      <w:r w:rsidR="001E1DCB" w:rsidRPr="00EB08FF">
        <w:rPr>
          <w:color w:val="000000"/>
          <w:sz w:val="24"/>
          <w:szCs w:val="24"/>
          <w:lang w:val="it-IT"/>
        </w:rPr>
        <w:t>anitari</w:t>
      </w:r>
      <w:r w:rsidRPr="00EB08FF">
        <w:rPr>
          <w:color w:val="000000"/>
          <w:sz w:val="24"/>
          <w:szCs w:val="24"/>
          <w:lang w:val="it-IT"/>
        </w:rPr>
        <w:t xml:space="preserve"> Nazionali</w:t>
      </w:r>
    </w:p>
    <w:p w14:paraId="61DC7DEC" w14:textId="77777777" w:rsidR="00356D06" w:rsidRPr="00EB08FF" w:rsidRDefault="001E1DCB">
      <w:pPr>
        <w:numPr>
          <w:ilvl w:val="0"/>
          <w:numId w:val="1"/>
        </w:numPr>
        <w:pBdr>
          <w:top w:val="nil"/>
          <w:left w:val="nil"/>
          <w:bottom w:val="nil"/>
          <w:right w:val="nil"/>
          <w:between w:val="nil"/>
        </w:pBdr>
        <w:spacing w:after="0"/>
        <w:rPr>
          <w:color w:val="000000"/>
          <w:sz w:val="24"/>
          <w:szCs w:val="24"/>
          <w:lang w:val="it-IT"/>
        </w:rPr>
      </w:pPr>
      <w:r w:rsidRPr="00EB08FF">
        <w:rPr>
          <w:color w:val="000000"/>
          <w:sz w:val="24"/>
          <w:szCs w:val="24"/>
          <w:lang w:val="it-IT"/>
        </w:rPr>
        <w:t>Diventare digital</w:t>
      </w:r>
      <w:r w:rsidR="005B14F7" w:rsidRPr="00EB08FF">
        <w:rPr>
          <w:color w:val="000000"/>
          <w:sz w:val="24"/>
          <w:szCs w:val="24"/>
          <w:lang w:val="it-IT"/>
        </w:rPr>
        <w:t>mente alfabetizzati</w:t>
      </w:r>
    </w:p>
    <w:p w14:paraId="62D7B7E0" w14:textId="77777777" w:rsidR="00356D06" w:rsidRPr="00EB08FF" w:rsidRDefault="001E1DCB">
      <w:pPr>
        <w:numPr>
          <w:ilvl w:val="0"/>
          <w:numId w:val="1"/>
        </w:numPr>
        <w:pBdr>
          <w:top w:val="nil"/>
          <w:left w:val="nil"/>
          <w:bottom w:val="nil"/>
          <w:right w:val="nil"/>
          <w:between w:val="nil"/>
        </w:pBdr>
        <w:spacing w:after="0"/>
        <w:rPr>
          <w:color w:val="000000"/>
          <w:sz w:val="24"/>
          <w:szCs w:val="24"/>
          <w:lang w:val="it-IT"/>
        </w:rPr>
      </w:pPr>
      <w:r w:rsidRPr="00EB08FF">
        <w:rPr>
          <w:color w:val="000000"/>
          <w:sz w:val="24"/>
          <w:szCs w:val="24"/>
          <w:lang w:val="it-IT"/>
        </w:rPr>
        <w:t>Esplorare gli strumenti di salute digitale</w:t>
      </w:r>
    </w:p>
    <w:p w14:paraId="08B5F0DC" w14:textId="77777777" w:rsidR="00356D06" w:rsidRPr="00EB08FF" w:rsidRDefault="001E1DCB">
      <w:pPr>
        <w:numPr>
          <w:ilvl w:val="0"/>
          <w:numId w:val="1"/>
        </w:numPr>
        <w:pBdr>
          <w:top w:val="nil"/>
          <w:left w:val="nil"/>
          <w:bottom w:val="nil"/>
          <w:right w:val="nil"/>
          <w:between w:val="nil"/>
        </w:pBdr>
        <w:rPr>
          <w:color w:val="000000"/>
          <w:sz w:val="24"/>
          <w:szCs w:val="24"/>
          <w:lang w:val="it-IT"/>
        </w:rPr>
      </w:pPr>
      <w:r w:rsidRPr="00EB08FF">
        <w:rPr>
          <w:color w:val="000000"/>
          <w:sz w:val="24"/>
          <w:szCs w:val="24"/>
          <w:lang w:val="it-IT"/>
        </w:rPr>
        <w:t>Essere attivi nell'ambiente digitale</w:t>
      </w:r>
    </w:p>
    <w:p w14:paraId="46E5CB4A" w14:textId="77777777" w:rsidR="00356D06" w:rsidRPr="00EB08FF" w:rsidRDefault="001E1DCB">
      <w:pPr>
        <w:rPr>
          <w:sz w:val="24"/>
          <w:szCs w:val="24"/>
          <w:lang w:val="it-IT"/>
        </w:rPr>
      </w:pPr>
      <w:r w:rsidRPr="00EB08FF">
        <w:rPr>
          <w:sz w:val="24"/>
          <w:szCs w:val="24"/>
          <w:lang w:val="it-IT"/>
        </w:rPr>
        <w:t xml:space="preserve">Il manuale è rivolto specificamente ai formatori e ai </w:t>
      </w:r>
      <w:r w:rsidR="005B14F7" w:rsidRPr="00EB08FF">
        <w:rPr>
          <w:sz w:val="24"/>
          <w:szCs w:val="24"/>
          <w:lang w:val="it-IT"/>
        </w:rPr>
        <w:t xml:space="preserve">collaboratori </w:t>
      </w:r>
      <w:r w:rsidRPr="00EB08FF">
        <w:rPr>
          <w:sz w:val="24"/>
          <w:szCs w:val="24"/>
          <w:lang w:val="it-IT"/>
        </w:rPr>
        <w:t>(operatori sociali, sanitari, ecc.)</w:t>
      </w:r>
      <w:r w:rsidR="005B14F7" w:rsidRPr="00EB08FF">
        <w:rPr>
          <w:sz w:val="24"/>
          <w:szCs w:val="24"/>
          <w:lang w:val="it-IT"/>
        </w:rPr>
        <w:t xml:space="preserve"> con l’obiettivo </w:t>
      </w:r>
      <w:r w:rsidRPr="00EB08FF">
        <w:rPr>
          <w:sz w:val="24"/>
          <w:szCs w:val="24"/>
          <w:lang w:val="it-IT"/>
        </w:rPr>
        <w:t xml:space="preserve">di </w:t>
      </w:r>
      <w:r w:rsidR="005B14F7" w:rsidRPr="00EB08FF">
        <w:rPr>
          <w:sz w:val="24"/>
          <w:szCs w:val="24"/>
          <w:lang w:val="it-IT"/>
        </w:rPr>
        <w:t xml:space="preserve">poter </w:t>
      </w:r>
      <w:r w:rsidRPr="00EB08FF">
        <w:rPr>
          <w:sz w:val="24"/>
          <w:szCs w:val="24"/>
          <w:lang w:val="it-IT"/>
        </w:rPr>
        <w:t xml:space="preserve">fornire </w:t>
      </w:r>
      <w:r w:rsidR="005B14F7" w:rsidRPr="00EB08FF">
        <w:rPr>
          <w:sz w:val="24"/>
          <w:szCs w:val="24"/>
          <w:lang w:val="it-IT"/>
        </w:rPr>
        <w:t xml:space="preserve">loro </w:t>
      </w:r>
      <w:r w:rsidRPr="00EB08FF">
        <w:rPr>
          <w:sz w:val="24"/>
          <w:szCs w:val="24"/>
          <w:lang w:val="it-IT"/>
        </w:rPr>
        <w:t>una conoscenza più approfondita degli argomenti trattati nelle sessioni di formazione</w:t>
      </w:r>
      <w:r w:rsidR="005B14F7" w:rsidRPr="00EB08FF">
        <w:rPr>
          <w:sz w:val="24"/>
          <w:szCs w:val="24"/>
          <w:lang w:val="it-IT"/>
        </w:rPr>
        <w:t xml:space="preserve">. </w:t>
      </w:r>
      <w:r w:rsidRPr="00EB08FF">
        <w:rPr>
          <w:sz w:val="24"/>
          <w:szCs w:val="24"/>
          <w:lang w:val="it-IT"/>
        </w:rPr>
        <w:t xml:space="preserve"> Inoltre il formatore è preparato a rispondere a domande più dettagliate rispetto alle informazioni fornite nel materiale formativo. Pertanto questo manuale fornisce una conoscenza più approfondita e collegamenti a risorse aggiuntive relative ai contenuti, in primo luogo per i formatori, ma naturalmente anche per tutte le altre persone che desiderano saperne di più sugli argomenti.</w:t>
      </w:r>
    </w:p>
    <w:p w14:paraId="78B4A587" w14:textId="77777777" w:rsidR="00356D06" w:rsidRPr="00EB08FF" w:rsidRDefault="001E1DCB">
      <w:pPr>
        <w:rPr>
          <w:sz w:val="24"/>
          <w:szCs w:val="24"/>
          <w:lang w:val="it-IT"/>
        </w:rPr>
      </w:pPr>
      <w:r w:rsidRPr="00EB08FF">
        <w:rPr>
          <w:sz w:val="24"/>
          <w:szCs w:val="24"/>
          <w:lang w:val="it-IT"/>
        </w:rPr>
        <w:t>La struttura del manuale è orientata alla struttura del programma di formazione. Ogni modulo ha un capitolo di circa 6-8 pagine.</w:t>
      </w:r>
    </w:p>
    <w:p w14:paraId="453F2F78" w14:textId="77777777" w:rsidR="00356D06" w:rsidRPr="00EB08FF" w:rsidRDefault="001E1DCB">
      <w:pPr>
        <w:rPr>
          <w:sz w:val="24"/>
          <w:szCs w:val="24"/>
          <w:lang w:val="it-IT"/>
        </w:rPr>
      </w:pPr>
      <w:r w:rsidRPr="00EB08FF">
        <w:rPr>
          <w:sz w:val="24"/>
          <w:szCs w:val="24"/>
          <w:lang w:val="it-IT"/>
        </w:rPr>
        <w:t xml:space="preserve">Questo manuale contiene informazioni relative al </w:t>
      </w:r>
      <w:r w:rsidRPr="00EB08FF">
        <w:rPr>
          <w:b/>
          <w:sz w:val="24"/>
          <w:szCs w:val="24"/>
          <w:lang w:val="it-IT"/>
        </w:rPr>
        <w:t xml:space="preserve">Modulo 1, Cos'è </w:t>
      </w:r>
      <w:r w:rsidR="005B14F7" w:rsidRPr="00EB08FF">
        <w:rPr>
          <w:b/>
          <w:sz w:val="24"/>
          <w:szCs w:val="24"/>
          <w:lang w:val="it-IT"/>
        </w:rPr>
        <w:t xml:space="preserve">la </w:t>
      </w:r>
      <w:r w:rsidR="005B14F7" w:rsidRPr="00EB08FF">
        <w:rPr>
          <w:b/>
          <w:i/>
          <w:sz w:val="24"/>
          <w:szCs w:val="24"/>
          <w:lang w:val="it-IT"/>
        </w:rPr>
        <w:t>Digital Health Literacy</w:t>
      </w:r>
      <w:r w:rsidR="005B14F7" w:rsidRPr="00EB08FF">
        <w:rPr>
          <w:b/>
          <w:sz w:val="24"/>
          <w:szCs w:val="24"/>
          <w:lang w:val="it-IT"/>
        </w:rPr>
        <w:t xml:space="preserve"> </w:t>
      </w:r>
      <w:r w:rsidRPr="00EB08FF">
        <w:rPr>
          <w:b/>
          <w:sz w:val="24"/>
          <w:szCs w:val="24"/>
          <w:lang w:val="it-IT"/>
        </w:rPr>
        <w:t xml:space="preserve"> e la sua rilevanza</w:t>
      </w:r>
      <w:r w:rsidRPr="00EB08FF">
        <w:rPr>
          <w:sz w:val="24"/>
          <w:szCs w:val="24"/>
          <w:lang w:val="it-IT"/>
        </w:rPr>
        <w:t>. Pertanto qui troverete le informazioni teoriche necessarie per supportare i contenuti e le attività del DPTA_1.</w:t>
      </w:r>
    </w:p>
    <w:p w14:paraId="240CD926" w14:textId="77777777" w:rsidR="00356D06" w:rsidRPr="00EB08FF" w:rsidRDefault="001E1DCB">
      <w:pPr>
        <w:rPr>
          <w:sz w:val="24"/>
          <w:szCs w:val="24"/>
          <w:lang w:val="it-IT"/>
        </w:rPr>
      </w:pPr>
      <w:r w:rsidRPr="00EB08FF">
        <w:rPr>
          <w:sz w:val="24"/>
          <w:szCs w:val="24"/>
          <w:lang w:val="it-IT"/>
        </w:rPr>
        <w:t xml:space="preserve">Il modulo 1 ha un carattere chiaramente introduttivo e mira a presentare i contenuti del corso in modo pratico, in modo che </w:t>
      </w:r>
      <w:r w:rsidR="005B14F7" w:rsidRPr="00EB08FF">
        <w:rPr>
          <w:sz w:val="24"/>
          <w:szCs w:val="24"/>
          <w:lang w:val="it-IT"/>
        </w:rPr>
        <w:t>questi risultino attrattivi per chi vi si approccia.</w:t>
      </w:r>
      <w:r w:rsidRPr="00EB08FF">
        <w:rPr>
          <w:sz w:val="24"/>
          <w:szCs w:val="24"/>
          <w:lang w:val="it-IT"/>
        </w:rPr>
        <w:t xml:space="preserve">  </w:t>
      </w:r>
      <w:r w:rsidR="000F4B80">
        <w:rPr>
          <w:sz w:val="24"/>
          <w:szCs w:val="24"/>
          <w:lang w:val="it-IT"/>
        </w:rPr>
        <w:t>I</w:t>
      </w:r>
      <w:r w:rsidRPr="00EB08FF">
        <w:rPr>
          <w:sz w:val="24"/>
          <w:szCs w:val="24"/>
          <w:lang w:val="it-IT"/>
        </w:rPr>
        <w:t>l contenuto di questo manuale forni</w:t>
      </w:r>
      <w:r w:rsidR="005B14F7" w:rsidRPr="00EB08FF">
        <w:rPr>
          <w:sz w:val="24"/>
          <w:szCs w:val="24"/>
          <w:lang w:val="it-IT"/>
        </w:rPr>
        <w:t>sce</w:t>
      </w:r>
      <w:r w:rsidRPr="00EB08FF">
        <w:rPr>
          <w:sz w:val="24"/>
          <w:szCs w:val="24"/>
          <w:lang w:val="it-IT"/>
        </w:rPr>
        <w:t xml:space="preserve"> una breve in</w:t>
      </w:r>
      <w:r w:rsidR="005B14F7" w:rsidRPr="00EB08FF">
        <w:rPr>
          <w:sz w:val="24"/>
          <w:szCs w:val="24"/>
          <w:lang w:val="it-IT"/>
        </w:rPr>
        <w:t>troduzione de</w:t>
      </w:r>
      <w:r w:rsidRPr="00EB08FF">
        <w:rPr>
          <w:sz w:val="24"/>
          <w:szCs w:val="24"/>
          <w:lang w:val="it-IT"/>
        </w:rPr>
        <w:t xml:space="preserve">l programma Erasmus+, </w:t>
      </w:r>
      <w:r w:rsidR="00C37CA9" w:rsidRPr="00EB08FF">
        <w:rPr>
          <w:sz w:val="24"/>
          <w:szCs w:val="24"/>
          <w:lang w:val="it-IT"/>
        </w:rPr>
        <w:t>una disanima de</w:t>
      </w:r>
      <w:r w:rsidRPr="00EB08FF">
        <w:rPr>
          <w:sz w:val="24"/>
          <w:szCs w:val="24"/>
          <w:lang w:val="it-IT"/>
        </w:rPr>
        <w:t xml:space="preserve">l concetto di alfabetizzazione sanitaria digitale e </w:t>
      </w:r>
      <w:r w:rsidR="00C37CA9" w:rsidRPr="00EB08FF">
        <w:rPr>
          <w:sz w:val="24"/>
          <w:szCs w:val="24"/>
          <w:lang w:val="it-IT"/>
        </w:rPr>
        <w:t>de</w:t>
      </w:r>
      <w:r w:rsidRPr="00EB08FF">
        <w:rPr>
          <w:sz w:val="24"/>
          <w:szCs w:val="24"/>
          <w:lang w:val="it-IT"/>
        </w:rPr>
        <w:t xml:space="preserve">l motivo per cui questo </w:t>
      </w:r>
      <w:r w:rsidR="00C37CA9" w:rsidRPr="00EB08FF">
        <w:rPr>
          <w:sz w:val="24"/>
          <w:szCs w:val="24"/>
          <w:lang w:val="it-IT"/>
        </w:rPr>
        <w:t xml:space="preserve">può essere </w:t>
      </w:r>
      <w:r w:rsidRPr="00EB08FF">
        <w:rPr>
          <w:sz w:val="24"/>
          <w:szCs w:val="24"/>
          <w:lang w:val="it-IT"/>
        </w:rPr>
        <w:t xml:space="preserve">rilevante per </w:t>
      </w:r>
      <w:r w:rsidR="00C37CA9" w:rsidRPr="00EB08FF">
        <w:rPr>
          <w:sz w:val="24"/>
          <w:szCs w:val="24"/>
          <w:lang w:val="it-IT"/>
        </w:rPr>
        <w:t>le persone</w:t>
      </w:r>
      <w:r w:rsidRPr="00EB08FF">
        <w:rPr>
          <w:sz w:val="24"/>
          <w:szCs w:val="24"/>
          <w:lang w:val="it-IT"/>
        </w:rPr>
        <w:t xml:space="preserve"> migranti.</w:t>
      </w:r>
      <w:r w:rsidRPr="00EB08FF">
        <w:rPr>
          <w:lang w:val="it-IT"/>
        </w:rPr>
        <w:br w:type="page"/>
      </w:r>
    </w:p>
    <w:p w14:paraId="1BF35662" w14:textId="77777777" w:rsidR="00356D06" w:rsidRPr="00EB08FF" w:rsidRDefault="001E1DCB">
      <w:pPr>
        <w:pStyle w:val="1"/>
        <w:rPr>
          <w:lang w:val="it-IT"/>
        </w:rPr>
      </w:pPr>
      <w:bookmarkStart w:id="4" w:name="_Toc103249336"/>
      <w:r w:rsidRPr="00EB08FF">
        <w:rPr>
          <w:lang w:val="it-IT"/>
        </w:rPr>
        <w:lastRenderedPageBreak/>
        <w:t>1. Che cos'è l'alfabetizzazione sanitaria digitale e</w:t>
      </w:r>
      <w:bookmarkEnd w:id="4"/>
      <w:r w:rsidR="00C37CA9" w:rsidRPr="00EB08FF">
        <w:rPr>
          <w:lang w:val="it-IT"/>
        </w:rPr>
        <w:t xml:space="preserve"> la sua importanza</w:t>
      </w:r>
    </w:p>
    <w:p w14:paraId="61459D54" w14:textId="77777777" w:rsidR="00356D06" w:rsidRPr="00EB08FF" w:rsidRDefault="001E1DCB">
      <w:pPr>
        <w:pStyle w:val="2"/>
        <w:rPr>
          <w:lang w:val="it-IT"/>
        </w:rPr>
      </w:pPr>
      <w:bookmarkStart w:id="5" w:name="_Toc103249337"/>
      <w:r w:rsidRPr="00EB08FF">
        <w:rPr>
          <w:lang w:val="it-IT"/>
        </w:rPr>
        <w:t xml:space="preserve">1.1 Il programma ERASMUS+. </w:t>
      </w:r>
      <w:bookmarkEnd w:id="5"/>
    </w:p>
    <w:p w14:paraId="46B19467" w14:textId="77777777" w:rsidR="00356D06" w:rsidRPr="00EB08FF" w:rsidRDefault="001E1DCB">
      <w:pPr>
        <w:rPr>
          <w:sz w:val="24"/>
          <w:szCs w:val="24"/>
          <w:lang w:val="it-IT"/>
        </w:rPr>
      </w:pPr>
      <w:r w:rsidRPr="00EB08FF">
        <w:rPr>
          <w:sz w:val="24"/>
          <w:szCs w:val="24"/>
          <w:lang w:val="it-IT"/>
        </w:rPr>
        <w:t xml:space="preserve">Erasmus+ è il programma dell'UE nei settori dell'istruzione, della formazione, della gioventù e dello sport per il periodo 2021-2027. L'istruzione, la formazione, la gioventù e lo sport sono settori chiave che sostengono i cittadini </w:t>
      </w:r>
      <w:r w:rsidR="00C37CA9" w:rsidRPr="00EB08FF">
        <w:rPr>
          <w:sz w:val="24"/>
          <w:szCs w:val="24"/>
          <w:lang w:val="it-IT"/>
        </w:rPr>
        <w:t xml:space="preserve">e le cittadine </w:t>
      </w:r>
      <w:r w:rsidRPr="00EB08FF">
        <w:rPr>
          <w:sz w:val="24"/>
          <w:szCs w:val="24"/>
          <w:lang w:val="it-IT"/>
        </w:rPr>
        <w:t xml:space="preserve">nel loro sviluppo personale e professionale. Un'istruzione e una formazione di alta qualità e inclusiva, così come l'apprendimento informale e non formale, finiscono per dotare i giovani e i partecipanti di tutte le età delle qualifiche e delle competenze necessarie per una partecipazione significativa alla società democratica, per la comprensione interculturale e per una transizione di successo nel mercato del lavoro. Sulla base del successo del programma nel periodo 2014-2020, Erasmus+ rafforza i suoi sforzi per aumentare le opportunità offerte a un maggior numero di partecipanti e a una gamma più ampia di organizzazioni, concentrandosi sul suo impatto qualitativo e contribuendo a società più inclusive e coese, più </w:t>
      </w:r>
      <w:r w:rsidR="00C37CA9" w:rsidRPr="00EB08FF">
        <w:rPr>
          <w:sz w:val="24"/>
          <w:szCs w:val="24"/>
          <w:lang w:val="it-IT"/>
        </w:rPr>
        <w:t>attente alla questione ambientale</w:t>
      </w:r>
      <w:r w:rsidRPr="00EB08FF">
        <w:rPr>
          <w:sz w:val="24"/>
          <w:szCs w:val="24"/>
          <w:lang w:val="it-IT"/>
        </w:rPr>
        <w:t xml:space="preserve"> e </w:t>
      </w:r>
      <w:r w:rsidR="00C37CA9" w:rsidRPr="00EB08FF">
        <w:rPr>
          <w:sz w:val="24"/>
          <w:szCs w:val="24"/>
          <w:lang w:val="it-IT"/>
        </w:rPr>
        <w:t xml:space="preserve">alla formazione </w:t>
      </w:r>
      <w:r w:rsidRPr="00EB08FF">
        <w:rPr>
          <w:sz w:val="24"/>
          <w:szCs w:val="24"/>
          <w:lang w:val="it-IT"/>
        </w:rPr>
        <w:t>digital</w:t>
      </w:r>
      <w:r w:rsidR="00C37CA9" w:rsidRPr="00EB08FF">
        <w:rPr>
          <w:sz w:val="24"/>
          <w:szCs w:val="24"/>
          <w:lang w:val="it-IT"/>
        </w:rPr>
        <w:t>e</w:t>
      </w:r>
      <w:r w:rsidRPr="00EB08FF">
        <w:rPr>
          <w:sz w:val="24"/>
          <w:szCs w:val="24"/>
          <w:lang w:val="it-IT"/>
        </w:rPr>
        <w:t xml:space="preserve">. </w:t>
      </w:r>
    </w:p>
    <w:p w14:paraId="25971B0C" w14:textId="77777777" w:rsidR="00356D06" w:rsidRPr="00EB08FF" w:rsidRDefault="001E1DCB">
      <w:pPr>
        <w:rPr>
          <w:sz w:val="24"/>
          <w:szCs w:val="24"/>
          <w:lang w:val="it-IT"/>
        </w:rPr>
      </w:pPr>
      <w:r w:rsidRPr="00EB08FF">
        <w:rPr>
          <w:sz w:val="24"/>
          <w:szCs w:val="24"/>
          <w:lang w:val="it-IT"/>
        </w:rPr>
        <w:t>Come ha dimostrato la pandemia</w:t>
      </w:r>
      <w:r w:rsidR="00C37CA9" w:rsidRPr="00EB08FF">
        <w:rPr>
          <w:sz w:val="24"/>
          <w:szCs w:val="24"/>
          <w:lang w:val="it-IT"/>
        </w:rPr>
        <w:t xml:space="preserve"> da</w:t>
      </w:r>
      <w:r w:rsidRPr="00EB08FF">
        <w:rPr>
          <w:sz w:val="24"/>
          <w:szCs w:val="24"/>
          <w:lang w:val="it-IT"/>
        </w:rPr>
        <w:t xml:space="preserve"> COVID-19, l'accesso all'istruzione si sta rivelando più che mai essenziale per garantire una rapida ripresa, promuovendo al contempo le pari opportunità per tutti. Nell'ambito di questo processo di ripresa, il programma Erasmus+ porta la sua dimensione inclusiva verso un nuovo orizzonte, sostenendo le opportunità di sviluppo personale, socio-educativo e professionale delle persone in Europa e altrove, con l'obiettivo di non lasciare indietro nessuno. Per aumentare l'impatto qualitativo delle sue azioni e garantire le pari opportunità, il Programma si rivolgerà maggiormente e meglio a persone di età diverse e provenienti da contesti culturali, sociali ed economici differenti. L'obiettivo principale del Programma è quello di avvicinarsi a coloro che hanno meno opportunità, tra cui le persone con disabilità e gli immigrati, nonché i cittadini dell'Unione europea che vivono in aree remote o che si trovano in difficoltà socio-economiche. In questo modo, il Programma incoraggerà anche i suoi partecipanti, in particolare i giovani, a impegnarsi e imparare a partecipare alla società civile, sensibilizzandoli sui valori comuni dell'Unione europea. Il Programma continuerà a responsabilizzare i giovani e a incoraggiare la loro partecipazione alla vita democratica, in particolare sostenendo le attività legate all'Anno europeo della gioventù 2022, annunciato nel discorso sullo Stato dell'Unione del settembre 2021. Inoltre, lo sviluppo </w:t>
      </w:r>
      <w:r w:rsidRPr="00EB08FF">
        <w:rPr>
          <w:sz w:val="24"/>
          <w:szCs w:val="24"/>
          <w:lang w:val="it-IT"/>
        </w:rPr>
        <w:lastRenderedPageBreak/>
        <w:t xml:space="preserve">delle abilità e delle competenze digitali e delle competenze in settori orientati al futuro, come la lotta al cambiamento climatico, l'energia pulita, l'intelligenza artificiale, la robotica, l'analisi dei </w:t>
      </w:r>
      <w:r w:rsidRPr="00EB08FF">
        <w:rPr>
          <w:i/>
          <w:sz w:val="24"/>
          <w:szCs w:val="24"/>
          <w:lang w:val="it-IT"/>
        </w:rPr>
        <w:t>big data</w:t>
      </w:r>
      <w:r w:rsidRPr="00EB08FF">
        <w:rPr>
          <w:sz w:val="24"/>
          <w:szCs w:val="24"/>
          <w:lang w:val="it-IT"/>
        </w:rPr>
        <w:t xml:space="preserve">, ecc. è essenziale per la futura crescita sostenibile e la coesione dell'Europa. Il Programma può dare un contributo significativo stimolando l'innovazione e colmando il divario di conoscenze, abilità e competenze </w:t>
      </w:r>
      <w:r w:rsidR="00C37CA9" w:rsidRPr="00EB08FF">
        <w:rPr>
          <w:sz w:val="24"/>
          <w:szCs w:val="24"/>
          <w:lang w:val="it-IT"/>
        </w:rPr>
        <w:t>presenti nelle varie aree europee.</w:t>
      </w:r>
      <w:r w:rsidRPr="00EB08FF">
        <w:rPr>
          <w:sz w:val="24"/>
          <w:szCs w:val="24"/>
          <w:lang w:val="it-IT"/>
        </w:rPr>
        <w:t xml:space="preserve"> Le imprese dell'UE devono diventare più competitive grazie al talento e all'innovazione. Questo investimento in conoscenze, abilità e competenze andrà a beneficio di individui, istituzioni, organizzazioni e della società nel suo complesso, contribuendo alla crescita sostenibile e garantendo equità, prosperità e inclusione sociale in Europa e oltre.</w:t>
      </w:r>
    </w:p>
    <w:p w14:paraId="30F556DB" w14:textId="77777777" w:rsidR="00356D06" w:rsidRPr="00EB08FF" w:rsidRDefault="001E1DCB">
      <w:pPr>
        <w:rPr>
          <w:sz w:val="24"/>
          <w:szCs w:val="24"/>
          <w:lang w:val="it-IT"/>
        </w:rPr>
      </w:pPr>
      <w:r w:rsidRPr="00EB08FF">
        <w:rPr>
          <w:sz w:val="24"/>
          <w:szCs w:val="24"/>
          <w:lang w:val="it-IT"/>
        </w:rPr>
        <w:t>All'interno del Programma ERASMUS+, l'</w:t>
      </w:r>
      <w:r w:rsidRPr="00EB08FF">
        <w:rPr>
          <w:b/>
          <w:sz w:val="24"/>
          <w:szCs w:val="24"/>
          <w:lang w:val="it-IT"/>
        </w:rPr>
        <w:t>Azione chiave 2: Cooperazione tra organizzazioni e istituzioni</w:t>
      </w:r>
      <w:r w:rsidRPr="00EB08FF">
        <w:rPr>
          <w:sz w:val="24"/>
          <w:szCs w:val="24"/>
          <w:lang w:val="it-IT"/>
        </w:rPr>
        <w:t xml:space="preserve">, dovrebbe portare allo sviluppo, al trasferimento e/o all'implementazione di pratiche innovative a livello organizzativo, locale, regionale, nazionale o europeo. I progetti finanziati nell'ambito di questa </w:t>
      </w:r>
      <w:r w:rsidRPr="00EB08FF">
        <w:rPr>
          <w:i/>
          <w:sz w:val="24"/>
          <w:szCs w:val="24"/>
          <w:lang w:val="it-IT"/>
        </w:rPr>
        <w:t>Azione chiave</w:t>
      </w:r>
      <w:r w:rsidRPr="00EB08FF">
        <w:rPr>
          <w:sz w:val="24"/>
          <w:szCs w:val="24"/>
          <w:lang w:val="it-IT"/>
        </w:rPr>
        <w:t xml:space="preserve"> avranno probabilmente anche un impatto positivo sulle persone direttamente o indirettamente coinvolte nelle attività, come ad esempio un aumento del livello di competenza digitale. Pertanto, l'impatto di questa </w:t>
      </w:r>
      <w:r w:rsidRPr="00EB08FF">
        <w:rPr>
          <w:i/>
          <w:sz w:val="24"/>
          <w:szCs w:val="24"/>
          <w:lang w:val="it-IT"/>
        </w:rPr>
        <w:t>Azione chiave</w:t>
      </w:r>
      <w:r w:rsidRPr="00EB08FF">
        <w:rPr>
          <w:sz w:val="24"/>
          <w:szCs w:val="24"/>
          <w:lang w:val="it-IT"/>
        </w:rPr>
        <w:t xml:space="preserve"> dovrebbe essere, tra l'altro, una migliore fornitura e valutazione delle competenze di base e trasversali, in particolare: imprenditorialità, competenze sociali, civiche, interculturali e linguistiche, pensiero critico, competenze digitali e alfabetizzazione mediatica. </w:t>
      </w:r>
    </w:p>
    <w:p w14:paraId="4F11CB93" w14:textId="77777777" w:rsidR="00356D06" w:rsidRPr="00EB08FF" w:rsidRDefault="001E1DCB">
      <w:pPr>
        <w:pStyle w:val="2"/>
        <w:rPr>
          <w:lang w:val="it-IT"/>
        </w:rPr>
      </w:pPr>
      <w:bookmarkStart w:id="6" w:name="_Toc103249338"/>
      <w:r w:rsidRPr="00EB08FF">
        <w:rPr>
          <w:lang w:val="it-IT"/>
        </w:rPr>
        <w:t>1.2 Concetto di alfabetizzazione sanitaria digitale</w:t>
      </w:r>
      <w:bookmarkEnd w:id="6"/>
    </w:p>
    <w:p w14:paraId="78BBB332" w14:textId="77777777" w:rsidR="00356D06" w:rsidRPr="00EB08FF" w:rsidRDefault="001E1DCB">
      <w:pPr>
        <w:pBdr>
          <w:top w:val="nil"/>
          <w:left w:val="nil"/>
          <w:bottom w:val="nil"/>
          <w:right w:val="nil"/>
          <w:between w:val="nil"/>
        </w:pBdr>
        <w:rPr>
          <w:color w:val="000000"/>
          <w:sz w:val="24"/>
          <w:szCs w:val="24"/>
          <w:lang w:val="it-IT"/>
        </w:rPr>
      </w:pPr>
      <w:r w:rsidRPr="00EB08FF">
        <w:rPr>
          <w:color w:val="000000"/>
          <w:sz w:val="24"/>
          <w:szCs w:val="24"/>
          <w:lang w:val="it-IT"/>
        </w:rPr>
        <w:t xml:space="preserve">La definizione principale di </w:t>
      </w:r>
      <w:r w:rsidRPr="00EB08FF">
        <w:rPr>
          <w:i/>
          <w:color w:val="000000"/>
          <w:sz w:val="24"/>
          <w:szCs w:val="24"/>
          <w:lang w:val="it-IT"/>
        </w:rPr>
        <w:t>Digital Health Literacy</w:t>
      </w:r>
      <w:r w:rsidRPr="00EB08FF">
        <w:rPr>
          <w:color w:val="000000"/>
          <w:sz w:val="24"/>
          <w:szCs w:val="24"/>
          <w:lang w:val="it-IT"/>
        </w:rPr>
        <w:t xml:space="preserve">, utilizzata anche dall'Organizzazione Mondiale della Sanità (OMS, 2017), è quella sviluppata da Norman e Skinner. Secondo questa definizione, la </w:t>
      </w:r>
      <w:r w:rsidRPr="00EB08FF">
        <w:rPr>
          <w:i/>
          <w:color w:val="000000"/>
          <w:sz w:val="24"/>
          <w:szCs w:val="24"/>
          <w:lang w:val="it-IT"/>
        </w:rPr>
        <w:t>Digital Health Literacy</w:t>
      </w:r>
      <w:r w:rsidRPr="00EB08FF">
        <w:rPr>
          <w:color w:val="000000"/>
          <w:sz w:val="24"/>
          <w:szCs w:val="24"/>
          <w:lang w:val="it-IT"/>
        </w:rPr>
        <w:t xml:space="preserve"> è definita come "[...] la capacità di cercare, trovare, comprendere e valutare informazioni sulla salute da fonti elettroniche e di applicare le conoscenze acquisite per affrontare o risolvere un problema di salute" (Norman e Skinner, 2006).</w:t>
      </w:r>
    </w:p>
    <w:p w14:paraId="53D67B7A" w14:textId="77777777" w:rsidR="00356D06" w:rsidRPr="00EB08FF" w:rsidRDefault="001E1DCB">
      <w:pPr>
        <w:pBdr>
          <w:top w:val="nil"/>
          <w:left w:val="nil"/>
          <w:bottom w:val="nil"/>
          <w:right w:val="nil"/>
          <w:between w:val="nil"/>
        </w:pBdr>
        <w:rPr>
          <w:color w:val="000000"/>
          <w:sz w:val="24"/>
          <w:szCs w:val="24"/>
          <w:lang w:val="it-IT"/>
        </w:rPr>
      </w:pPr>
      <w:r w:rsidRPr="00EB08FF">
        <w:rPr>
          <w:color w:val="000000"/>
          <w:sz w:val="24"/>
          <w:szCs w:val="24"/>
          <w:lang w:val="it-IT"/>
        </w:rPr>
        <w:t xml:space="preserve">Questa definizione dà una prima idea del significato di </w:t>
      </w:r>
      <w:r w:rsidRPr="00EB08FF">
        <w:rPr>
          <w:i/>
          <w:color w:val="000000"/>
          <w:sz w:val="24"/>
          <w:szCs w:val="24"/>
          <w:lang w:val="it-IT"/>
        </w:rPr>
        <w:t>Digital Health Literacy</w:t>
      </w:r>
      <w:r w:rsidRPr="00EB08FF">
        <w:rPr>
          <w:color w:val="000000"/>
          <w:sz w:val="24"/>
          <w:szCs w:val="24"/>
          <w:lang w:val="it-IT"/>
        </w:rPr>
        <w:t xml:space="preserve">. Per comprendere meglio il concetto è opportuno dare un'occhiata alle diverse competenze che </w:t>
      </w:r>
      <w:r w:rsidR="000F4B80">
        <w:rPr>
          <w:color w:val="000000"/>
          <w:sz w:val="24"/>
          <w:szCs w:val="24"/>
          <w:lang w:val="it-IT"/>
        </w:rPr>
        <w:t xml:space="preserve">vi </w:t>
      </w:r>
      <w:r w:rsidRPr="00EB08FF">
        <w:rPr>
          <w:color w:val="000000"/>
          <w:sz w:val="24"/>
          <w:szCs w:val="24"/>
          <w:lang w:val="it-IT"/>
        </w:rPr>
        <w:t>sono</w:t>
      </w:r>
      <w:r w:rsidR="00C37CA9" w:rsidRPr="00EB08FF">
        <w:rPr>
          <w:color w:val="000000"/>
          <w:sz w:val="24"/>
          <w:szCs w:val="24"/>
          <w:lang w:val="it-IT"/>
        </w:rPr>
        <w:t xml:space="preserve"> </w:t>
      </w:r>
      <w:r w:rsidRPr="00EB08FF">
        <w:rPr>
          <w:color w:val="000000"/>
          <w:sz w:val="24"/>
          <w:szCs w:val="24"/>
          <w:lang w:val="it-IT"/>
        </w:rPr>
        <w:t>incluse. Esistono sei divers</w:t>
      </w:r>
      <w:r w:rsidR="0086069E" w:rsidRPr="00EB08FF">
        <w:rPr>
          <w:color w:val="000000"/>
          <w:sz w:val="24"/>
          <w:szCs w:val="24"/>
          <w:lang w:val="it-IT"/>
        </w:rPr>
        <w:t>i tipi di</w:t>
      </w:r>
      <w:r w:rsidRPr="00EB08FF">
        <w:rPr>
          <w:color w:val="000000"/>
          <w:sz w:val="24"/>
          <w:szCs w:val="24"/>
          <w:lang w:val="it-IT"/>
        </w:rPr>
        <w:t xml:space="preserve"> </w:t>
      </w:r>
      <w:r w:rsidR="0086069E" w:rsidRPr="00EB08FF">
        <w:rPr>
          <w:color w:val="000000"/>
          <w:sz w:val="24"/>
          <w:szCs w:val="24"/>
          <w:lang w:val="it-IT"/>
        </w:rPr>
        <w:t>‘</w:t>
      </w:r>
      <w:r w:rsidRPr="00EB08FF">
        <w:rPr>
          <w:color w:val="000000"/>
          <w:sz w:val="24"/>
          <w:szCs w:val="24"/>
          <w:lang w:val="it-IT"/>
        </w:rPr>
        <w:t>alfabetizzazion</w:t>
      </w:r>
      <w:r w:rsidR="0086069E" w:rsidRPr="00EB08FF">
        <w:rPr>
          <w:color w:val="000000"/>
          <w:sz w:val="24"/>
          <w:szCs w:val="24"/>
          <w:lang w:val="it-IT"/>
        </w:rPr>
        <w:t>e’</w:t>
      </w:r>
      <w:r w:rsidRPr="00EB08FF">
        <w:rPr>
          <w:color w:val="000000"/>
          <w:sz w:val="24"/>
          <w:szCs w:val="24"/>
          <w:lang w:val="it-IT"/>
        </w:rPr>
        <w:t xml:space="preserve"> che vengono riunit</w:t>
      </w:r>
      <w:r w:rsidR="0086069E" w:rsidRPr="00EB08FF">
        <w:rPr>
          <w:color w:val="000000"/>
          <w:sz w:val="24"/>
          <w:szCs w:val="24"/>
          <w:lang w:val="it-IT"/>
        </w:rPr>
        <w:t>i</w:t>
      </w:r>
      <w:r w:rsidRPr="00EB08FF">
        <w:rPr>
          <w:color w:val="000000"/>
          <w:sz w:val="24"/>
          <w:szCs w:val="24"/>
          <w:lang w:val="it-IT"/>
        </w:rPr>
        <w:t xml:space="preserve"> nel termine </w:t>
      </w:r>
      <w:r w:rsidRPr="00EB08FF">
        <w:rPr>
          <w:i/>
          <w:color w:val="000000"/>
          <w:sz w:val="24"/>
          <w:szCs w:val="24"/>
          <w:lang w:val="it-IT"/>
        </w:rPr>
        <w:t>Digital Health Literacy</w:t>
      </w:r>
      <w:r w:rsidRPr="00EB08FF">
        <w:rPr>
          <w:color w:val="000000"/>
          <w:sz w:val="24"/>
          <w:szCs w:val="24"/>
          <w:lang w:val="it-IT"/>
        </w:rPr>
        <w:t>: 1) alfabetizzazione tradizionale 2) alfabetizzazione sanitaria</w:t>
      </w:r>
      <w:r w:rsidR="0086069E" w:rsidRPr="00EB08FF">
        <w:rPr>
          <w:color w:val="000000"/>
          <w:sz w:val="24"/>
          <w:szCs w:val="24"/>
          <w:lang w:val="it-IT"/>
        </w:rPr>
        <w:t xml:space="preserve"> </w:t>
      </w:r>
      <w:r w:rsidRPr="00EB08FF">
        <w:rPr>
          <w:color w:val="000000"/>
          <w:sz w:val="24"/>
          <w:szCs w:val="24"/>
          <w:lang w:val="it-IT"/>
        </w:rPr>
        <w:t xml:space="preserve">3) </w:t>
      </w:r>
      <w:r w:rsidRPr="00EB08FF">
        <w:rPr>
          <w:color w:val="000000"/>
          <w:sz w:val="24"/>
          <w:szCs w:val="24"/>
          <w:lang w:val="it-IT"/>
        </w:rPr>
        <w:lastRenderedPageBreak/>
        <w:t xml:space="preserve">alfabetizzazione informativa 4) alfabetizzazione scientifica 5) alfabetizzazione mediatica 6) alfabetizzazione informatica (Norman e Skinner, 2006). </w:t>
      </w:r>
    </w:p>
    <w:p w14:paraId="664BC9F7" w14:textId="77777777" w:rsidR="00FD1591" w:rsidRPr="00EB08FF" w:rsidRDefault="00FD1591">
      <w:pPr>
        <w:pBdr>
          <w:top w:val="nil"/>
          <w:left w:val="nil"/>
          <w:bottom w:val="nil"/>
          <w:right w:val="nil"/>
          <w:between w:val="nil"/>
        </w:pBdr>
        <w:rPr>
          <w:color w:val="000000"/>
          <w:sz w:val="24"/>
          <w:szCs w:val="24"/>
          <w:lang w:val="it-IT"/>
        </w:rPr>
      </w:pPr>
    </w:p>
    <w:p w14:paraId="048FEFFC" w14:textId="77777777" w:rsidR="00FD1591" w:rsidRPr="00EB08FF" w:rsidRDefault="00FD1591">
      <w:pPr>
        <w:pBdr>
          <w:top w:val="nil"/>
          <w:left w:val="nil"/>
          <w:bottom w:val="nil"/>
          <w:right w:val="nil"/>
          <w:between w:val="nil"/>
        </w:pBdr>
        <w:rPr>
          <w:color w:val="000000"/>
          <w:sz w:val="24"/>
          <w:szCs w:val="24"/>
          <w:lang w:val="it-IT"/>
        </w:rPr>
      </w:pPr>
    </w:p>
    <w:p w14:paraId="20F65590" w14:textId="77777777" w:rsidR="00356D06" w:rsidRPr="00EB08FF" w:rsidRDefault="001E1DCB">
      <w:pPr>
        <w:pBdr>
          <w:top w:val="nil"/>
          <w:left w:val="nil"/>
          <w:bottom w:val="nil"/>
          <w:right w:val="nil"/>
          <w:between w:val="nil"/>
        </w:pBdr>
        <w:spacing w:after="200" w:line="240" w:lineRule="auto"/>
        <w:rPr>
          <w:i/>
          <w:color w:val="44546A"/>
          <w:sz w:val="18"/>
          <w:szCs w:val="18"/>
          <w:lang w:val="it-IT"/>
        </w:rPr>
      </w:pPr>
      <w:r w:rsidRPr="00EB08FF">
        <w:rPr>
          <w:noProof/>
          <w:lang w:val="it-IT"/>
        </w:rPr>
        <w:drawing>
          <wp:anchor distT="0" distB="0" distL="114300" distR="114300" simplePos="0" relativeHeight="251658240" behindDoc="0" locked="0" layoutInCell="1" hidden="0" allowOverlap="1" wp14:anchorId="5C25B0A1" wp14:editId="2CF5F292">
            <wp:simplePos x="0" y="0"/>
            <wp:positionH relativeFrom="column">
              <wp:posOffset>9627</wp:posOffset>
            </wp:positionH>
            <wp:positionV relativeFrom="paragraph">
              <wp:posOffset>200</wp:posOffset>
            </wp:positionV>
            <wp:extent cx="3705225" cy="3771900"/>
            <wp:effectExtent l="0" t="0" r="0" b="0"/>
            <wp:wrapSquare wrapText="bothSides" distT="0" distB="0" distL="114300" distR="114300"/>
            <wp:docPr id="7" name="image3.png" descr="Diagram, venn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 venn diagram&#10;&#10;Description automatically generated"/>
                    <pic:cNvPicPr preferRelativeResize="0"/>
                  </pic:nvPicPr>
                  <pic:blipFill>
                    <a:blip r:embed="rId30"/>
                    <a:srcRect/>
                    <a:stretch>
                      <a:fillRect/>
                    </a:stretch>
                  </pic:blipFill>
                  <pic:spPr>
                    <a:xfrm>
                      <a:off x="0" y="0"/>
                      <a:ext cx="3705225" cy="3771900"/>
                    </a:xfrm>
                    <a:prstGeom prst="rect">
                      <a:avLst/>
                    </a:prstGeom>
                    <a:ln/>
                  </pic:spPr>
                </pic:pic>
              </a:graphicData>
            </a:graphic>
          </wp:anchor>
        </w:drawing>
      </w:r>
    </w:p>
    <w:p w14:paraId="253D45F0"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3AB0CCBF"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2BAB9CF2"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71B0B66B"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23532427"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479EBA9E"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2F6A200F"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155C9F11"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1D4F0AD2"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7C5EE43D"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5F670313"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0DEDE71E"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7AC81CFF"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6A0D5E31" w14:textId="77777777" w:rsidR="00FD1591" w:rsidRPr="00EB08FF" w:rsidRDefault="00FD1591">
      <w:pPr>
        <w:pBdr>
          <w:top w:val="nil"/>
          <w:left w:val="nil"/>
          <w:bottom w:val="nil"/>
          <w:right w:val="nil"/>
          <w:between w:val="nil"/>
        </w:pBdr>
        <w:spacing w:after="200" w:line="240" w:lineRule="auto"/>
        <w:rPr>
          <w:i/>
          <w:color w:val="44546A"/>
          <w:sz w:val="18"/>
          <w:szCs w:val="18"/>
          <w:lang w:val="it-IT"/>
        </w:rPr>
      </w:pPr>
    </w:p>
    <w:p w14:paraId="1DE36BDF" w14:textId="77777777" w:rsidR="00356D06" w:rsidRPr="00EB08FF" w:rsidRDefault="001E1DCB">
      <w:pPr>
        <w:pBdr>
          <w:top w:val="nil"/>
          <w:left w:val="nil"/>
          <w:bottom w:val="nil"/>
          <w:right w:val="nil"/>
          <w:between w:val="nil"/>
        </w:pBdr>
        <w:spacing w:after="200" w:line="240" w:lineRule="auto"/>
        <w:rPr>
          <w:i/>
          <w:color w:val="000000"/>
          <w:sz w:val="24"/>
          <w:szCs w:val="24"/>
          <w:lang w:val="it-IT"/>
        </w:rPr>
      </w:pPr>
      <w:r w:rsidRPr="00EB08FF">
        <w:rPr>
          <w:i/>
          <w:color w:val="44546A"/>
          <w:sz w:val="18"/>
          <w:szCs w:val="18"/>
          <w:lang w:val="it-IT"/>
        </w:rPr>
        <w:t>Figura 1: Modello di alfabetizzazione eHealth (Norman e Skinner, 2006)</w:t>
      </w:r>
    </w:p>
    <w:p w14:paraId="38AE1D55" w14:textId="77777777" w:rsidR="00356D06" w:rsidRPr="00EB08FF" w:rsidRDefault="001E1DCB">
      <w:pPr>
        <w:rPr>
          <w:sz w:val="24"/>
          <w:szCs w:val="24"/>
          <w:lang w:val="it-IT"/>
        </w:rPr>
      </w:pPr>
      <w:r w:rsidRPr="00EB08FF">
        <w:rPr>
          <w:sz w:val="24"/>
          <w:szCs w:val="24"/>
          <w:lang w:val="it-IT"/>
        </w:rPr>
        <w:t xml:space="preserve">Nel progetto MIG-DHL ci siamo basati su questa definizione e, soprattutto, sulle dimensioni della </w:t>
      </w:r>
      <w:r w:rsidRPr="00EB08FF">
        <w:rPr>
          <w:i/>
          <w:sz w:val="24"/>
          <w:szCs w:val="24"/>
          <w:lang w:val="it-IT"/>
        </w:rPr>
        <w:t>Digital Health Literacy</w:t>
      </w:r>
      <w:r w:rsidRPr="00EB08FF">
        <w:rPr>
          <w:sz w:val="24"/>
          <w:szCs w:val="24"/>
          <w:lang w:val="it-IT"/>
        </w:rPr>
        <w:t xml:space="preserve"> proposte da van der Vaart &amp; Drossaert (van der Vaart &amp; Drossaert, 2017). Nel loro articolo, </w:t>
      </w:r>
      <w:r w:rsidRPr="00EB08FF">
        <w:rPr>
          <w:sz w:val="24"/>
          <w:szCs w:val="24"/>
          <w:u w:val="single"/>
          <w:lang w:val="it-IT"/>
        </w:rPr>
        <w:t>Development of the Digital Health Literacy Instrument: Measuring a Broad Spectrum of Health 1.0 and Health 2.0 Skills</w:t>
      </w:r>
      <w:r w:rsidRPr="00EB08FF">
        <w:rPr>
          <w:sz w:val="24"/>
          <w:szCs w:val="24"/>
          <w:lang w:val="it-IT"/>
        </w:rPr>
        <w:t xml:space="preserve">, </w:t>
      </w:r>
      <w:r w:rsidR="0086069E" w:rsidRPr="00EB08FF">
        <w:rPr>
          <w:sz w:val="24"/>
          <w:szCs w:val="24"/>
          <w:lang w:val="it-IT"/>
        </w:rPr>
        <w:t>gli autori individuano</w:t>
      </w:r>
      <w:r w:rsidRPr="00EB08FF">
        <w:rPr>
          <w:sz w:val="24"/>
          <w:szCs w:val="24"/>
          <w:lang w:val="it-IT"/>
        </w:rPr>
        <w:t xml:space="preserve"> </w:t>
      </w:r>
      <w:r w:rsidR="0086069E" w:rsidRPr="00EB08FF">
        <w:rPr>
          <w:sz w:val="24"/>
          <w:szCs w:val="24"/>
          <w:lang w:val="it-IT"/>
        </w:rPr>
        <w:t xml:space="preserve">e descrivono </w:t>
      </w:r>
      <w:r w:rsidRPr="00EB08FF">
        <w:rPr>
          <w:sz w:val="24"/>
          <w:szCs w:val="24"/>
          <w:lang w:val="it-IT"/>
        </w:rPr>
        <w:t xml:space="preserve">7 diverse dimensioni della </w:t>
      </w:r>
      <w:r w:rsidRPr="00EB08FF">
        <w:rPr>
          <w:i/>
          <w:sz w:val="24"/>
          <w:szCs w:val="24"/>
          <w:lang w:val="it-IT"/>
        </w:rPr>
        <w:t>Digital Health Literacy</w:t>
      </w:r>
      <w:r w:rsidRPr="00EB08FF">
        <w:rPr>
          <w:sz w:val="24"/>
          <w:szCs w:val="24"/>
          <w:lang w:val="it-IT"/>
        </w:rPr>
        <w:t xml:space="preserve">, </w:t>
      </w:r>
      <w:r w:rsidR="0086069E" w:rsidRPr="00EB08FF">
        <w:rPr>
          <w:sz w:val="24"/>
          <w:szCs w:val="24"/>
          <w:lang w:val="it-IT"/>
        </w:rPr>
        <w:t>nella forma seguente</w:t>
      </w:r>
      <w:r w:rsidRPr="00EB08FF">
        <w:rPr>
          <w:sz w:val="24"/>
          <w:szCs w:val="24"/>
          <w:lang w:val="it-IT"/>
        </w:rPr>
        <w:t xml:space="preserve">: </w:t>
      </w:r>
    </w:p>
    <w:p w14:paraId="0AA81F1F" w14:textId="77777777" w:rsidR="00356D06" w:rsidRPr="00EB08FF" w:rsidRDefault="001E1DCB">
      <w:pPr>
        <w:rPr>
          <w:sz w:val="24"/>
          <w:szCs w:val="24"/>
          <w:lang w:val="it-IT"/>
        </w:rPr>
      </w:pPr>
      <w:r w:rsidRPr="00EB08FF">
        <w:rPr>
          <w:b/>
          <w:sz w:val="24"/>
          <w:szCs w:val="24"/>
          <w:lang w:val="it-IT"/>
        </w:rPr>
        <w:t>(1) Abilità operative</w:t>
      </w:r>
      <w:r w:rsidRPr="00EB08FF">
        <w:rPr>
          <w:sz w:val="24"/>
          <w:szCs w:val="24"/>
          <w:lang w:val="it-IT"/>
        </w:rPr>
        <w:t xml:space="preserve">: </w:t>
      </w:r>
      <w:r w:rsidR="0086069E" w:rsidRPr="00EB08FF">
        <w:rPr>
          <w:sz w:val="24"/>
          <w:szCs w:val="24"/>
          <w:lang w:val="it-IT"/>
        </w:rPr>
        <w:t xml:space="preserve">saper </w:t>
      </w:r>
      <w:r w:rsidRPr="00EB08FF">
        <w:rPr>
          <w:sz w:val="24"/>
          <w:szCs w:val="24"/>
          <w:lang w:val="it-IT"/>
        </w:rPr>
        <w:t xml:space="preserve">utilizzare il computer e il browser Internet; utilizzare la tastiera del computer (ad esempio, </w:t>
      </w:r>
      <w:r w:rsidR="0086069E" w:rsidRPr="00EB08FF">
        <w:rPr>
          <w:sz w:val="24"/>
          <w:szCs w:val="24"/>
          <w:lang w:val="it-IT"/>
        </w:rPr>
        <w:t>sa</w:t>
      </w:r>
      <w:r w:rsidRPr="00EB08FF">
        <w:rPr>
          <w:sz w:val="24"/>
          <w:szCs w:val="24"/>
          <w:lang w:val="it-IT"/>
        </w:rPr>
        <w:t xml:space="preserve">per digitare parole); utilizzare il mouse (ad esempio, </w:t>
      </w:r>
      <w:r w:rsidR="0086069E" w:rsidRPr="00EB08FF">
        <w:rPr>
          <w:sz w:val="24"/>
          <w:szCs w:val="24"/>
          <w:lang w:val="it-IT"/>
        </w:rPr>
        <w:t>sa</w:t>
      </w:r>
      <w:r w:rsidRPr="00EB08FF">
        <w:rPr>
          <w:sz w:val="24"/>
          <w:szCs w:val="24"/>
          <w:lang w:val="it-IT"/>
        </w:rPr>
        <w:t xml:space="preserve">per posizionare il cursore nel campo giusto o </w:t>
      </w:r>
      <w:r w:rsidR="0086069E" w:rsidRPr="00EB08FF">
        <w:rPr>
          <w:sz w:val="24"/>
          <w:szCs w:val="24"/>
          <w:lang w:val="it-IT"/>
        </w:rPr>
        <w:t>sa</w:t>
      </w:r>
      <w:r w:rsidRPr="00EB08FF">
        <w:rPr>
          <w:sz w:val="24"/>
          <w:szCs w:val="24"/>
          <w:lang w:val="it-IT"/>
        </w:rPr>
        <w:t>per fare clic); utilizzare i pulsanti o i link e i collegamenti ipertestuali sui siti web.</w:t>
      </w:r>
    </w:p>
    <w:p w14:paraId="6EBEA88C" w14:textId="77777777" w:rsidR="00356D06" w:rsidRPr="00EB08FF" w:rsidRDefault="001E1DCB">
      <w:pPr>
        <w:rPr>
          <w:sz w:val="24"/>
          <w:szCs w:val="24"/>
          <w:lang w:val="it-IT"/>
        </w:rPr>
      </w:pPr>
      <w:r w:rsidRPr="00EB08FF">
        <w:rPr>
          <w:b/>
          <w:sz w:val="24"/>
          <w:szCs w:val="24"/>
          <w:lang w:val="it-IT"/>
        </w:rPr>
        <w:lastRenderedPageBreak/>
        <w:t xml:space="preserve">(2) Abilità di navigazione: </w:t>
      </w:r>
      <w:r w:rsidR="0086069E" w:rsidRPr="00EB08FF">
        <w:rPr>
          <w:sz w:val="24"/>
          <w:szCs w:val="24"/>
          <w:lang w:val="it-IT"/>
        </w:rPr>
        <w:t xml:space="preserve">saper </w:t>
      </w:r>
      <w:r w:rsidRPr="00EB08FF">
        <w:rPr>
          <w:sz w:val="24"/>
          <w:szCs w:val="24"/>
          <w:lang w:val="it-IT"/>
        </w:rPr>
        <w:t xml:space="preserve">navigare e orientarsi sul Web; ad esempio, non perdere di vista la propria posizione su un sito Web o su Internet; sapere come tornare a una pagina precedente; fare clic su </w:t>
      </w:r>
      <w:r w:rsidR="0086069E" w:rsidRPr="00EB08FF">
        <w:rPr>
          <w:sz w:val="24"/>
          <w:szCs w:val="24"/>
          <w:lang w:val="it-IT"/>
        </w:rPr>
        <w:t>un ipertesto</w:t>
      </w:r>
      <w:r w:rsidRPr="00EB08FF">
        <w:rPr>
          <w:sz w:val="24"/>
          <w:szCs w:val="24"/>
          <w:lang w:val="it-IT"/>
        </w:rPr>
        <w:t xml:space="preserve"> e vedere ciò che ci si aspettava, non qualcosa di diverso. </w:t>
      </w:r>
    </w:p>
    <w:p w14:paraId="2354FD38" w14:textId="77777777" w:rsidR="00356D06" w:rsidRPr="00EB08FF" w:rsidRDefault="001E1DCB">
      <w:pPr>
        <w:rPr>
          <w:sz w:val="24"/>
          <w:szCs w:val="24"/>
          <w:lang w:val="it-IT"/>
        </w:rPr>
      </w:pPr>
      <w:r w:rsidRPr="00EB08FF">
        <w:rPr>
          <w:b/>
          <w:sz w:val="24"/>
          <w:szCs w:val="24"/>
          <w:lang w:val="it-IT"/>
        </w:rPr>
        <w:t>(3) Capacità di ricerca di informazioni</w:t>
      </w:r>
      <w:r w:rsidRPr="00EB08FF">
        <w:rPr>
          <w:sz w:val="24"/>
          <w:szCs w:val="24"/>
          <w:lang w:val="it-IT"/>
        </w:rPr>
        <w:t xml:space="preserve">: </w:t>
      </w:r>
      <w:r w:rsidR="0086069E" w:rsidRPr="00EB08FF">
        <w:rPr>
          <w:sz w:val="24"/>
          <w:szCs w:val="24"/>
          <w:lang w:val="it-IT"/>
        </w:rPr>
        <w:t xml:space="preserve">saper </w:t>
      </w:r>
      <w:r w:rsidRPr="00EB08FF">
        <w:rPr>
          <w:sz w:val="24"/>
          <w:szCs w:val="24"/>
          <w:lang w:val="it-IT"/>
        </w:rPr>
        <w:t xml:space="preserve">utilizzare strategie di ricerca corrette; </w:t>
      </w:r>
      <w:r w:rsidR="0086069E" w:rsidRPr="00EB08FF">
        <w:rPr>
          <w:sz w:val="24"/>
          <w:szCs w:val="24"/>
          <w:lang w:val="it-IT"/>
        </w:rPr>
        <w:t xml:space="preserve">saper </w:t>
      </w:r>
      <w:r w:rsidRPr="00EB08FF">
        <w:rPr>
          <w:sz w:val="24"/>
          <w:szCs w:val="24"/>
          <w:lang w:val="it-IT"/>
        </w:rPr>
        <w:t xml:space="preserve">utilizzare le parole o le </w:t>
      </w:r>
      <w:r w:rsidRPr="00EB08FF">
        <w:rPr>
          <w:i/>
          <w:sz w:val="24"/>
          <w:szCs w:val="24"/>
          <w:lang w:val="it-IT"/>
        </w:rPr>
        <w:t>query</w:t>
      </w:r>
      <w:r w:rsidRPr="00EB08FF">
        <w:rPr>
          <w:sz w:val="24"/>
          <w:szCs w:val="24"/>
          <w:lang w:val="it-IT"/>
        </w:rPr>
        <w:t xml:space="preserve"> di ricerca appropriate per trovare le informazioni che si stanno cercando; </w:t>
      </w:r>
      <w:r w:rsidR="0086069E" w:rsidRPr="00EB08FF">
        <w:rPr>
          <w:sz w:val="24"/>
          <w:szCs w:val="24"/>
          <w:lang w:val="it-IT"/>
        </w:rPr>
        <w:t xml:space="preserve">poter </w:t>
      </w:r>
      <w:r w:rsidRPr="00EB08FF">
        <w:rPr>
          <w:sz w:val="24"/>
          <w:szCs w:val="24"/>
          <w:lang w:val="it-IT"/>
        </w:rPr>
        <w:t xml:space="preserve">fare una scelta tra tutte le informazioni trovate; trovare le informazioni esatte che si stanno cercando. </w:t>
      </w:r>
    </w:p>
    <w:p w14:paraId="0E8318A6" w14:textId="77777777" w:rsidR="00356D06" w:rsidRPr="00EB08FF" w:rsidRDefault="001E1DCB">
      <w:pPr>
        <w:rPr>
          <w:sz w:val="24"/>
          <w:szCs w:val="24"/>
          <w:lang w:val="it-IT"/>
        </w:rPr>
      </w:pPr>
      <w:r w:rsidRPr="00EB08FF">
        <w:rPr>
          <w:b/>
          <w:sz w:val="24"/>
          <w:szCs w:val="24"/>
          <w:lang w:val="it-IT"/>
        </w:rPr>
        <w:t>(4) Valutare l'affidabilità delle informazioni online</w:t>
      </w:r>
      <w:r w:rsidRPr="00EB08FF">
        <w:rPr>
          <w:sz w:val="24"/>
          <w:szCs w:val="24"/>
          <w:lang w:val="it-IT"/>
        </w:rPr>
        <w:t xml:space="preserve">: decidere se le informazioni sono affidabili o meno; decidere se le informazioni sono scritte per interessi commerciali (ad esempio, da persone che cercano di vendere un prodotto); controllare diversi siti web per vedere se forniscono le stesse informazioni; </w:t>
      </w:r>
    </w:p>
    <w:p w14:paraId="565560D6" w14:textId="77777777" w:rsidR="00356D06" w:rsidRPr="00EB08FF" w:rsidRDefault="001E1DCB">
      <w:pPr>
        <w:rPr>
          <w:sz w:val="24"/>
          <w:szCs w:val="24"/>
          <w:lang w:val="it-IT"/>
        </w:rPr>
      </w:pPr>
      <w:r w:rsidRPr="00EB08FF">
        <w:rPr>
          <w:b/>
          <w:sz w:val="24"/>
          <w:szCs w:val="24"/>
          <w:lang w:val="it-IT"/>
        </w:rPr>
        <w:t xml:space="preserve">(5) Determinare la rilevanza delle informazioni online: </w:t>
      </w:r>
      <w:r w:rsidRPr="00EB08FF">
        <w:rPr>
          <w:sz w:val="24"/>
          <w:szCs w:val="24"/>
          <w:lang w:val="it-IT"/>
        </w:rPr>
        <w:t xml:space="preserve">decidere se le informazioni trovate sono applicabili a voi; applicare le informazioni trovate nella vostra vita quotidiana; </w:t>
      </w:r>
      <w:r w:rsidR="0086069E" w:rsidRPr="00EB08FF">
        <w:rPr>
          <w:sz w:val="24"/>
          <w:szCs w:val="24"/>
          <w:lang w:val="it-IT"/>
        </w:rPr>
        <w:t xml:space="preserve">saper </w:t>
      </w:r>
      <w:r w:rsidRPr="00EB08FF">
        <w:rPr>
          <w:sz w:val="24"/>
          <w:szCs w:val="24"/>
          <w:lang w:val="it-IT"/>
        </w:rPr>
        <w:t>utilizzare le informazioni trovate per prendere decisioni sulla vostra salute (ad esempio, sull'alimentazione, sui farmaci o per decidere se chiedere il parere di un medico).</w:t>
      </w:r>
    </w:p>
    <w:p w14:paraId="2470C4FD" w14:textId="77777777" w:rsidR="00356D06" w:rsidRPr="00EB08FF" w:rsidRDefault="001E1DCB">
      <w:pPr>
        <w:rPr>
          <w:sz w:val="24"/>
          <w:szCs w:val="24"/>
          <w:lang w:val="it-IT"/>
        </w:rPr>
      </w:pPr>
      <w:r w:rsidRPr="00EB08FF">
        <w:rPr>
          <w:b/>
          <w:sz w:val="24"/>
          <w:szCs w:val="24"/>
          <w:lang w:val="it-IT"/>
        </w:rPr>
        <w:t xml:space="preserve">(6) Aggiunta di </w:t>
      </w:r>
      <w:r w:rsidR="0086069E" w:rsidRPr="00EB08FF">
        <w:rPr>
          <w:b/>
          <w:sz w:val="24"/>
          <w:szCs w:val="24"/>
          <w:lang w:val="it-IT"/>
        </w:rPr>
        <w:t xml:space="preserve">propri </w:t>
      </w:r>
      <w:r w:rsidRPr="00EB08FF">
        <w:rPr>
          <w:b/>
          <w:sz w:val="24"/>
          <w:szCs w:val="24"/>
          <w:lang w:val="it-IT"/>
        </w:rPr>
        <w:t xml:space="preserve">contenuti alle </w:t>
      </w:r>
      <w:r w:rsidR="0086069E" w:rsidRPr="00EB08FF">
        <w:rPr>
          <w:b/>
          <w:sz w:val="24"/>
          <w:szCs w:val="24"/>
          <w:lang w:val="it-IT"/>
        </w:rPr>
        <w:t xml:space="preserve">piattaforme e </w:t>
      </w:r>
      <w:r w:rsidRPr="00EB08FF">
        <w:rPr>
          <w:b/>
          <w:sz w:val="24"/>
          <w:szCs w:val="24"/>
          <w:lang w:val="it-IT"/>
        </w:rPr>
        <w:t>applicazioni basate sul Web</w:t>
      </w:r>
      <w:r w:rsidRPr="00EB08FF">
        <w:rPr>
          <w:sz w:val="24"/>
          <w:szCs w:val="24"/>
          <w:lang w:val="it-IT"/>
        </w:rPr>
        <w:t xml:space="preserve">: ad esempio, per formulare chiaramente la propria domanda o preoccupazione relativa </w:t>
      </w:r>
      <w:r w:rsidR="0086069E" w:rsidRPr="00EB08FF">
        <w:rPr>
          <w:sz w:val="24"/>
          <w:szCs w:val="24"/>
          <w:lang w:val="it-IT"/>
        </w:rPr>
        <w:t>tematiche inerenti la</w:t>
      </w:r>
      <w:r w:rsidRPr="00EB08FF">
        <w:rPr>
          <w:sz w:val="24"/>
          <w:szCs w:val="24"/>
          <w:lang w:val="it-IT"/>
        </w:rPr>
        <w:t xml:space="preserve"> salute; </w:t>
      </w:r>
      <w:r w:rsidR="0086069E" w:rsidRPr="00EB08FF">
        <w:rPr>
          <w:sz w:val="24"/>
          <w:szCs w:val="24"/>
          <w:lang w:val="it-IT"/>
        </w:rPr>
        <w:t>sa</w:t>
      </w:r>
      <w:r w:rsidRPr="00EB08FF">
        <w:rPr>
          <w:sz w:val="24"/>
          <w:szCs w:val="24"/>
          <w:lang w:val="it-IT"/>
        </w:rPr>
        <w:t>per esprimere per iscritto la propria opinione, i propri pensieri o sentimenti; p</w:t>
      </w:r>
      <w:r w:rsidR="0086069E" w:rsidRPr="00EB08FF">
        <w:rPr>
          <w:sz w:val="24"/>
          <w:szCs w:val="24"/>
          <w:lang w:val="it-IT"/>
        </w:rPr>
        <w:t>ote</w:t>
      </w:r>
      <w:r w:rsidRPr="00EB08FF">
        <w:rPr>
          <w:sz w:val="24"/>
          <w:szCs w:val="24"/>
          <w:lang w:val="it-IT"/>
        </w:rPr>
        <w:t>r scrivere il proprio messaggio come tale, in modo che le persone capiscano esattamente cosa si intende.</w:t>
      </w:r>
    </w:p>
    <w:p w14:paraId="1541F02F" w14:textId="77777777" w:rsidR="00356D06" w:rsidRPr="00EB08FF" w:rsidRDefault="001E1DCB">
      <w:pPr>
        <w:rPr>
          <w:sz w:val="24"/>
          <w:szCs w:val="24"/>
          <w:lang w:val="it-IT"/>
        </w:rPr>
      </w:pPr>
      <w:r w:rsidRPr="00EB08FF">
        <w:rPr>
          <w:b/>
          <w:sz w:val="24"/>
          <w:szCs w:val="24"/>
          <w:lang w:val="it-IT"/>
        </w:rPr>
        <w:t>(7) Proteggere e rispettare la privacy durante l'uso di Internet</w:t>
      </w:r>
      <w:r w:rsidRPr="00EB08FF">
        <w:rPr>
          <w:sz w:val="24"/>
          <w:szCs w:val="24"/>
          <w:lang w:val="it-IT"/>
        </w:rPr>
        <w:t xml:space="preserve">: ad esempio, trovare difficile giudicare chi può leggere quando si pubblica un messaggio su un forum pubblico o sui social media, condividere (intenzionalmente o meno) le proprie informazioni private (ad esempio, nome o indirizzo); condividere (intenzionalmente o meno) le informazioni private di qualcun altro. </w:t>
      </w:r>
    </w:p>
    <w:p w14:paraId="1DA7FF7C" w14:textId="77777777" w:rsidR="00356D06" w:rsidRPr="00EB08FF" w:rsidRDefault="001E1DCB">
      <w:pPr>
        <w:pStyle w:val="2"/>
        <w:rPr>
          <w:lang w:val="it-IT"/>
        </w:rPr>
      </w:pPr>
      <w:bookmarkStart w:id="7" w:name="_Toc103249339"/>
      <w:r w:rsidRPr="00EB08FF">
        <w:rPr>
          <w:lang w:val="it-IT"/>
        </w:rPr>
        <w:t xml:space="preserve">1.3 La rilevanza della </w:t>
      </w:r>
      <w:r w:rsidRPr="00EB08FF">
        <w:rPr>
          <w:i/>
          <w:lang w:val="it-IT"/>
        </w:rPr>
        <w:t>Digital Health Literacy</w:t>
      </w:r>
      <w:r w:rsidRPr="00EB08FF">
        <w:rPr>
          <w:lang w:val="it-IT"/>
        </w:rPr>
        <w:t xml:space="preserve"> per i migranti</w:t>
      </w:r>
      <w:bookmarkEnd w:id="7"/>
    </w:p>
    <w:p w14:paraId="51010BAB" w14:textId="77777777" w:rsidR="00356D06" w:rsidRPr="00EB08FF" w:rsidRDefault="001E1DCB">
      <w:pPr>
        <w:rPr>
          <w:sz w:val="24"/>
          <w:szCs w:val="24"/>
          <w:lang w:val="it-IT"/>
        </w:rPr>
      </w:pPr>
      <w:r w:rsidRPr="00EB08FF">
        <w:rPr>
          <w:sz w:val="24"/>
          <w:szCs w:val="24"/>
          <w:lang w:val="it-IT"/>
        </w:rPr>
        <w:t xml:space="preserve">L'inclusione digitale è definita da tre </w:t>
      </w:r>
      <w:r w:rsidR="000F4B80">
        <w:rPr>
          <w:sz w:val="24"/>
          <w:szCs w:val="24"/>
          <w:lang w:val="it-IT"/>
        </w:rPr>
        <w:t xml:space="preserve">aspetti </w:t>
      </w:r>
      <w:r w:rsidRPr="00EB08FF">
        <w:rPr>
          <w:sz w:val="24"/>
          <w:szCs w:val="24"/>
          <w:lang w:val="it-IT"/>
        </w:rPr>
        <w:t xml:space="preserve">fondamentali: </w:t>
      </w:r>
      <w:r w:rsidR="000F4B80">
        <w:rPr>
          <w:sz w:val="24"/>
          <w:szCs w:val="24"/>
          <w:lang w:val="it-IT"/>
        </w:rPr>
        <w:t>poter accedere ad un dispositivo digitale e ad internet</w:t>
      </w:r>
      <w:r w:rsidRPr="00EB08FF">
        <w:rPr>
          <w:sz w:val="24"/>
          <w:szCs w:val="24"/>
          <w:lang w:val="it-IT"/>
        </w:rPr>
        <w:t xml:space="preserve"> e </w:t>
      </w:r>
      <w:r w:rsidR="000F4B80">
        <w:rPr>
          <w:sz w:val="24"/>
          <w:szCs w:val="24"/>
          <w:lang w:val="it-IT"/>
        </w:rPr>
        <w:t>avere competenze</w:t>
      </w:r>
      <w:r w:rsidRPr="00EB08FF">
        <w:rPr>
          <w:sz w:val="24"/>
          <w:szCs w:val="24"/>
          <w:lang w:val="it-IT"/>
        </w:rPr>
        <w:t xml:space="preserve"> </w:t>
      </w:r>
      <w:r w:rsidR="000F4B80">
        <w:rPr>
          <w:sz w:val="24"/>
          <w:szCs w:val="24"/>
          <w:lang w:val="it-IT"/>
        </w:rPr>
        <w:t>sull’utilizzo di</w:t>
      </w:r>
      <w:r w:rsidRPr="00EB08FF">
        <w:rPr>
          <w:sz w:val="24"/>
          <w:szCs w:val="24"/>
          <w:lang w:val="it-IT"/>
        </w:rPr>
        <w:t xml:space="preserve"> questi due strumenti. Non è </w:t>
      </w:r>
      <w:r w:rsidRPr="00EB08FF">
        <w:rPr>
          <w:sz w:val="24"/>
          <w:szCs w:val="24"/>
          <w:lang w:val="it-IT"/>
        </w:rPr>
        <w:lastRenderedPageBreak/>
        <w:t xml:space="preserve">sufficiente avere un computer e un accesso a Internet perché una persona </w:t>
      </w:r>
      <w:r w:rsidR="00EA148F" w:rsidRPr="00EB08FF">
        <w:rPr>
          <w:sz w:val="24"/>
          <w:szCs w:val="24"/>
          <w:lang w:val="it-IT"/>
        </w:rPr>
        <w:t>possa avere esperienza di</w:t>
      </w:r>
      <w:r w:rsidRPr="00EB08FF">
        <w:rPr>
          <w:sz w:val="24"/>
          <w:szCs w:val="24"/>
          <w:lang w:val="it-IT"/>
        </w:rPr>
        <w:t xml:space="preserve"> </w:t>
      </w:r>
      <w:r w:rsidR="00EA148F" w:rsidRPr="00EB08FF">
        <w:rPr>
          <w:sz w:val="24"/>
          <w:szCs w:val="24"/>
          <w:lang w:val="it-IT"/>
        </w:rPr>
        <w:t>“inclusion</w:t>
      </w:r>
      <w:r w:rsidR="000F4B80">
        <w:rPr>
          <w:sz w:val="24"/>
          <w:szCs w:val="24"/>
          <w:lang w:val="it-IT"/>
        </w:rPr>
        <w:t>e</w:t>
      </w:r>
      <w:r w:rsidR="00EA148F" w:rsidRPr="00EB08FF">
        <w:rPr>
          <w:sz w:val="24"/>
          <w:szCs w:val="24"/>
          <w:lang w:val="it-IT"/>
        </w:rPr>
        <w:t xml:space="preserve"> sociale”</w:t>
      </w:r>
      <w:r w:rsidRPr="00EB08FF">
        <w:rPr>
          <w:sz w:val="24"/>
          <w:szCs w:val="24"/>
          <w:lang w:val="it-IT"/>
        </w:rPr>
        <w:t xml:space="preserve"> </w:t>
      </w:r>
      <w:r w:rsidR="00EA148F" w:rsidRPr="00EB08FF">
        <w:rPr>
          <w:sz w:val="24"/>
          <w:szCs w:val="24"/>
          <w:lang w:val="it-IT"/>
        </w:rPr>
        <w:t xml:space="preserve">attraverso il mezzo </w:t>
      </w:r>
      <w:r w:rsidRPr="00EB08FF">
        <w:rPr>
          <w:sz w:val="24"/>
          <w:szCs w:val="24"/>
          <w:lang w:val="it-IT"/>
        </w:rPr>
        <w:t>digital</w:t>
      </w:r>
      <w:r w:rsidR="00EA148F" w:rsidRPr="00EB08FF">
        <w:rPr>
          <w:sz w:val="24"/>
          <w:szCs w:val="24"/>
          <w:lang w:val="it-IT"/>
        </w:rPr>
        <w:t>e</w:t>
      </w:r>
      <w:r w:rsidRPr="00EB08FF">
        <w:rPr>
          <w:sz w:val="24"/>
          <w:szCs w:val="24"/>
          <w:lang w:val="it-IT"/>
        </w:rPr>
        <w:t>, ma è anche necessario che la persona sappia come usare questi due strumenti. Per questo motivo, le persone possono essere</w:t>
      </w:r>
      <w:r w:rsidR="00EA148F" w:rsidRPr="00EB08FF">
        <w:rPr>
          <w:sz w:val="24"/>
          <w:szCs w:val="24"/>
          <w:lang w:val="it-IT"/>
        </w:rPr>
        <w:t xml:space="preserve"> escluse socialmente</w:t>
      </w:r>
      <w:r w:rsidRPr="00EB08FF">
        <w:rPr>
          <w:sz w:val="24"/>
          <w:szCs w:val="24"/>
          <w:lang w:val="it-IT"/>
        </w:rPr>
        <w:t xml:space="preserve"> perché se non conoscono le procedure telematiche e il funzionamento delle nuove tecnologie, questo può limitare lo sviluppo del loro pieno potenziale e quindi rendere difficile la loro integrazione nella società. È a questo punto che le persone</w:t>
      </w:r>
      <w:r w:rsidR="000F4B80">
        <w:rPr>
          <w:sz w:val="24"/>
          <w:szCs w:val="24"/>
          <w:lang w:val="it-IT"/>
        </w:rPr>
        <w:t xml:space="preserve"> possono</w:t>
      </w:r>
      <w:r w:rsidRPr="00EB08FF">
        <w:rPr>
          <w:sz w:val="24"/>
          <w:szCs w:val="24"/>
          <w:lang w:val="it-IT"/>
        </w:rPr>
        <w:t xml:space="preserve"> sperimenta</w:t>
      </w:r>
      <w:r w:rsidR="000F4B80">
        <w:rPr>
          <w:sz w:val="24"/>
          <w:szCs w:val="24"/>
          <w:lang w:val="it-IT"/>
        </w:rPr>
        <w:t>re</w:t>
      </w:r>
      <w:r w:rsidRPr="00EB08FF">
        <w:rPr>
          <w:sz w:val="24"/>
          <w:szCs w:val="24"/>
          <w:lang w:val="it-IT"/>
        </w:rPr>
        <w:t xml:space="preserve"> processi di esclusione e dipendenza da </w:t>
      </w:r>
      <w:r w:rsidR="00EA148F" w:rsidRPr="00EB08FF">
        <w:rPr>
          <w:sz w:val="24"/>
          <w:szCs w:val="24"/>
          <w:lang w:val="it-IT"/>
        </w:rPr>
        <w:t xml:space="preserve">coloro che hanno </w:t>
      </w:r>
      <w:r w:rsidRPr="00EB08FF">
        <w:rPr>
          <w:sz w:val="24"/>
          <w:szCs w:val="24"/>
          <w:lang w:val="it-IT"/>
        </w:rPr>
        <w:t>conoscenze degli strumenti informatici e p</w:t>
      </w:r>
      <w:r w:rsidR="00EA148F" w:rsidRPr="00EB08FF">
        <w:rPr>
          <w:sz w:val="24"/>
          <w:szCs w:val="24"/>
          <w:lang w:val="it-IT"/>
        </w:rPr>
        <w:t>ossono</w:t>
      </w:r>
      <w:r w:rsidRPr="00EB08FF">
        <w:rPr>
          <w:sz w:val="24"/>
          <w:szCs w:val="24"/>
          <w:lang w:val="it-IT"/>
        </w:rPr>
        <w:t xml:space="preserve"> </w:t>
      </w:r>
      <w:r w:rsidR="000F4B80">
        <w:rPr>
          <w:sz w:val="24"/>
          <w:szCs w:val="24"/>
          <w:lang w:val="it-IT"/>
        </w:rPr>
        <w:t xml:space="preserve">facilmente </w:t>
      </w:r>
      <w:r w:rsidRPr="00EB08FF">
        <w:rPr>
          <w:sz w:val="24"/>
          <w:szCs w:val="24"/>
          <w:lang w:val="it-IT"/>
        </w:rPr>
        <w:t xml:space="preserve">consultare e richiedere </w:t>
      </w:r>
      <w:r w:rsidR="00EA148F" w:rsidRPr="00EB08FF">
        <w:rPr>
          <w:sz w:val="24"/>
          <w:szCs w:val="24"/>
          <w:lang w:val="it-IT"/>
        </w:rPr>
        <w:t>alcuni</w:t>
      </w:r>
      <w:r w:rsidRPr="00EB08FF">
        <w:rPr>
          <w:sz w:val="24"/>
          <w:szCs w:val="24"/>
          <w:lang w:val="it-IT"/>
        </w:rPr>
        <w:t xml:space="preserve"> tip</w:t>
      </w:r>
      <w:r w:rsidR="00EA148F" w:rsidRPr="00EB08FF">
        <w:rPr>
          <w:sz w:val="24"/>
          <w:szCs w:val="24"/>
          <w:lang w:val="it-IT"/>
        </w:rPr>
        <w:t>i</w:t>
      </w:r>
      <w:r w:rsidRPr="00EB08FF">
        <w:rPr>
          <w:sz w:val="24"/>
          <w:szCs w:val="24"/>
          <w:lang w:val="it-IT"/>
        </w:rPr>
        <w:t xml:space="preserve"> di servizi, soprattutto quelli che possono essere richiesti solo online. Questa dipendenza può portare le persone a pagare per essere aiutate a svolgere </w:t>
      </w:r>
      <w:r w:rsidR="005015A9" w:rsidRPr="00EB08FF">
        <w:rPr>
          <w:sz w:val="24"/>
          <w:szCs w:val="24"/>
          <w:lang w:val="it-IT"/>
        </w:rPr>
        <w:t>del</w:t>
      </w:r>
      <w:r w:rsidRPr="00EB08FF">
        <w:rPr>
          <w:sz w:val="24"/>
          <w:szCs w:val="24"/>
          <w:lang w:val="it-IT"/>
        </w:rPr>
        <w:t xml:space="preserve">le procedure telematiche </w:t>
      </w:r>
      <w:r w:rsidR="000F4B80">
        <w:rPr>
          <w:sz w:val="24"/>
          <w:szCs w:val="24"/>
          <w:lang w:val="it-IT"/>
        </w:rPr>
        <w:t xml:space="preserve">che gli sono necessarie </w:t>
      </w:r>
      <w:r w:rsidRPr="00EB08FF">
        <w:rPr>
          <w:sz w:val="24"/>
          <w:szCs w:val="24"/>
          <w:lang w:val="it-IT"/>
        </w:rPr>
        <w:t xml:space="preserve">quando queste non dovrebbero </w:t>
      </w:r>
      <w:r w:rsidR="005015A9" w:rsidRPr="00EB08FF">
        <w:rPr>
          <w:sz w:val="24"/>
          <w:szCs w:val="24"/>
          <w:lang w:val="it-IT"/>
        </w:rPr>
        <w:t xml:space="preserve">avere </w:t>
      </w:r>
      <w:r w:rsidRPr="00EB08FF">
        <w:rPr>
          <w:sz w:val="24"/>
          <w:szCs w:val="24"/>
          <w:lang w:val="it-IT"/>
        </w:rPr>
        <w:t xml:space="preserve">alcun costo (Parra e Vásquez, 2020). </w:t>
      </w:r>
    </w:p>
    <w:p w14:paraId="30296DDF" w14:textId="77777777" w:rsidR="00356D06" w:rsidRPr="00EB08FF" w:rsidRDefault="001E1DCB">
      <w:pPr>
        <w:rPr>
          <w:color w:val="000000"/>
          <w:sz w:val="24"/>
          <w:szCs w:val="24"/>
          <w:lang w:val="it-IT"/>
        </w:rPr>
      </w:pPr>
      <w:r w:rsidRPr="00EB08FF">
        <w:rPr>
          <w:b/>
          <w:sz w:val="24"/>
          <w:szCs w:val="24"/>
          <w:lang w:val="it-IT"/>
        </w:rPr>
        <w:t>Ciò è evidente nel caso de</w:t>
      </w:r>
      <w:r w:rsidR="00EA148F" w:rsidRPr="00EB08FF">
        <w:rPr>
          <w:b/>
          <w:sz w:val="24"/>
          <w:szCs w:val="24"/>
          <w:lang w:val="it-IT"/>
        </w:rPr>
        <w:t>lle persone</w:t>
      </w:r>
      <w:r w:rsidRPr="00EB08FF">
        <w:rPr>
          <w:b/>
          <w:sz w:val="24"/>
          <w:szCs w:val="24"/>
          <w:lang w:val="it-IT"/>
        </w:rPr>
        <w:t xml:space="preserve"> immigrat</w:t>
      </w:r>
      <w:r w:rsidR="00EA148F" w:rsidRPr="00EB08FF">
        <w:rPr>
          <w:b/>
          <w:sz w:val="24"/>
          <w:szCs w:val="24"/>
          <w:lang w:val="it-IT"/>
        </w:rPr>
        <w:t>e</w:t>
      </w:r>
      <w:r w:rsidRPr="00EB08FF">
        <w:rPr>
          <w:b/>
          <w:sz w:val="24"/>
          <w:szCs w:val="24"/>
          <w:lang w:val="it-IT"/>
        </w:rPr>
        <w:t xml:space="preserve">, in quanto </w:t>
      </w:r>
      <w:r w:rsidR="00EA148F" w:rsidRPr="00EB08FF">
        <w:rPr>
          <w:b/>
          <w:sz w:val="24"/>
          <w:szCs w:val="24"/>
          <w:lang w:val="it-IT"/>
        </w:rPr>
        <w:t xml:space="preserve">la mancata alfabetizzazione digitale rappresenta </w:t>
      </w:r>
      <w:r w:rsidRPr="00EB08FF">
        <w:rPr>
          <w:b/>
          <w:sz w:val="24"/>
          <w:szCs w:val="24"/>
          <w:lang w:val="it-IT"/>
        </w:rPr>
        <w:t xml:space="preserve">un'ulteriore barriera alla loro piena </w:t>
      </w:r>
      <w:r w:rsidR="00EA148F" w:rsidRPr="00EB08FF">
        <w:rPr>
          <w:b/>
          <w:sz w:val="24"/>
          <w:szCs w:val="24"/>
          <w:lang w:val="it-IT"/>
        </w:rPr>
        <w:t>inclusione sociale</w:t>
      </w:r>
      <w:r w:rsidRPr="00EB08FF">
        <w:rPr>
          <w:sz w:val="24"/>
          <w:szCs w:val="24"/>
          <w:lang w:val="it-IT"/>
        </w:rPr>
        <w:t xml:space="preserve">. </w:t>
      </w:r>
      <w:r w:rsidRPr="00EB08FF">
        <w:rPr>
          <w:b/>
          <w:sz w:val="24"/>
          <w:szCs w:val="24"/>
          <w:lang w:val="it-IT"/>
        </w:rPr>
        <w:t>In particolare,</w:t>
      </w:r>
      <w:r w:rsidR="00EA148F" w:rsidRPr="00EB08FF">
        <w:rPr>
          <w:b/>
          <w:sz w:val="24"/>
          <w:szCs w:val="24"/>
          <w:lang w:val="it-IT"/>
        </w:rPr>
        <w:t xml:space="preserve"> una dinamica di esclusione</w:t>
      </w:r>
      <w:r w:rsidRPr="00EB08FF">
        <w:rPr>
          <w:b/>
          <w:sz w:val="24"/>
          <w:szCs w:val="24"/>
          <w:lang w:val="it-IT"/>
        </w:rPr>
        <w:t xml:space="preserve"> </w:t>
      </w:r>
      <w:r w:rsidR="00EA148F" w:rsidRPr="00EB08FF">
        <w:rPr>
          <w:b/>
          <w:sz w:val="24"/>
          <w:szCs w:val="24"/>
          <w:lang w:val="it-IT"/>
        </w:rPr>
        <w:t>può colpire gr</w:t>
      </w:r>
      <w:r w:rsidRPr="00EB08FF">
        <w:rPr>
          <w:b/>
          <w:sz w:val="24"/>
          <w:szCs w:val="24"/>
          <w:lang w:val="it-IT"/>
        </w:rPr>
        <w:t xml:space="preserve">uppi con una situazione socio-economica e culturale </w:t>
      </w:r>
      <w:r w:rsidR="00EA148F" w:rsidRPr="00EB08FF">
        <w:rPr>
          <w:b/>
          <w:sz w:val="24"/>
          <w:szCs w:val="24"/>
          <w:lang w:val="it-IT"/>
        </w:rPr>
        <w:t xml:space="preserve">tale per cui </w:t>
      </w:r>
      <w:r w:rsidR="008000EE" w:rsidRPr="00EB08FF">
        <w:rPr>
          <w:b/>
          <w:sz w:val="24"/>
          <w:szCs w:val="24"/>
          <w:lang w:val="it-IT"/>
        </w:rPr>
        <w:t xml:space="preserve">non riescono ad accedere </w:t>
      </w:r>
      <w:r w:rsidRPr="00EB08FF">
        <w:rPr>
          <w:b/>
          <w:sz w:val="24"/>
          <w:szCs w:val="24"/>
          <w:lang w:val="it-IT"/>
        </w:rPr>
        <w:t xml:space="preserve">a </w:t>
      </w:r>
      <w:r w:rsidR="008000EE" w:rsidRPr="00EB08FF">
        <w:rPr>
          <w:b/>
          <w:sz w:val="24"/>
          <w:szCs w:val="24"/>
          <w:lang w:val="it-IT"/>
        </w:rPr>
        <w:t xml:space="preserve">varie </w:t>
      </w:r>
      <w:r w:rsidRPr="00EB08FF">
        <w:rPr>
          <w:b/>
          <w:sz w:val="24"/>
          <w:szCs w:val="24"/>
          <w:lang w:val="it-IT"/>
        </w:rPr>
        <w:t xml:space="preserve">procedure </w:t>
      </w:r>
      <w:r w:rsidR="00EA148F" w:rsidRPr="00EB08FF">
        <w:rPr>
          <w:b/>
          <w:sz w:val="24"/>
          <w:szCs w:val="24"/>
          <w:lang w:val="it-IT"/>
        </w:rPr>
        <w:t xml:space="preserve">digitali </w:t>
      </w:r>
      <w:r w:rsidRPr="00EB08FF">
        <w:rPr>
          <w:b/>
          <w:sz w:val="24"/>
          <w:szCs w:val="24"/>
          <w:lang w:val="it-IT"/>
        </w:rPr>
        <w:t>per mancanza di strumenti</w:t>
      </w:r>
      <w:r w:rsidR="008000EE" w:rsidRPr="00EB08FF">
        <w:rPr>
          <w:b/>
          <w:sz w:val="24"/>
          <w:szCs w:val="24"/>
          <w:lang w:val="it-IT"/>
        </w:rPr>
        <w:t xml:space="preserve">, </w:t>
      </w:r>
      <w:r w:rsidRPr="00EB08FF">
        <w:rPr>
          <w:b/>
          <w:sz w:val="24"/>
          <w:szCs w:val="24"/>
          <w:lang w:val="it-IT"/>
        </w:rPr>
        <w:t>di conoscenza del loro funzionamento</w:t>
      </w:r>
      <w:r w:rsidR="008000EE" w:rsidRPr="00EB08FF">
        <w:rPr>
          <w:b/>
          <w:sz w:val="24"/>
          <w:szCs w:val="24"/>
          <w:lang w:val="it-IT"/>
        </w:rPr>
        <w:t xml:space="preserve"> o anche solo della lingua </w:t>
      </w:r>
      <w:r w:rsidR="00EB08FF" w:rsidRPr="00EB08FF">
        <w:rPr>
          <w:b/>
          <w:sz w:val="24"/>
          <w:szCs w:val="24"/>
          <w:lang w:val="it-IT"/>
        </w:rPr>
        <w:t>in cui le</w:t>
      </w:r>
      <w:r w:rsidR="008000EE" w:rsidRPr="00EB08FF">
        <w:rPr>
          <w:b/>
          <w:sz w:val="24"/>
          <w:szCs w:val="24"/>
          <w:lang w:val="it-IT"/>
        </w:rPr>
        <w:t xml:space="preserve"> informazioni</w:t>
      </w:r>
      <w:r w:rsidR="00EB08FF" w:rsidRPr="00EB08FF">
        <w:rPr>
          <w:b/>
          <w:sz w:val="24"/>
          <w:szCs w:val="24"/>
          <w:lang w:val="it-IT"/>
        </w:rPr>
        <w:t xml:space="preserve"> sono veicolate</w:t>
      </w:r>
      <w:r w:rsidRPr="00EB08FF">
        <w:rPr>
          <w:sz w:val="24"/>
          <w:szCs w:val="24"/>
          <w:lang w:val="it-IT"/>
        </w:rPr>
        <w:t xml:space="preserve">. Per questo </w:t>
      </w:r>
      <w:r w:rsidR="00EA148F" w:rsidRPr="00EB08FF">
        <w:rPr>
          <w:sz w:val="24"/>
          <w:szCs w:val="24"/>
          <w:lang w:val="it-IT"/>
        </w:rPr>
        <w:t>motivo è frequente che le persone immigrate</w:t>
      </w:r>
      <w:r w:rsidRPr="00EB08FF">
        <w:rPr>
          <w:sz w:val="24"/>
          <w:szCs w:val="24"/>
          <w:lang w:val="it-IT"/>
        </w:rPr>
        <w:t xml:space="preserve"> si rivolg</w:t>
      </w:r>
      <w:r w:rsidR="00EA148F" w:rsidRPr="00EB08FF">
        <w:rPr>
          <w:sz w:val="24"/>
          <w:szCs w:val="24"/>
          <w:lang w:val="it-IT"/>
        </w:rPr>
        <w:t>a</w:t>
      </w:r>
      <w:r w:rsidRPr="00EB08FF">
        <w:rPr>
          <w:sz w:val="24"/>
          <w:szCs w:val="24"/>
          <w:lang w:val="it-IT"/>
        </w:rPr>
        <w:t>no a</w:t>
      </w:r>
      <w:r w:rsidR="00EB08FF" w:rsidRPr="00EB08FF">
        <w:rPr>
          <w:sz w:val="24"/>
          <w:szCs w:val="24"/>
          <w:lang w:val="it-IT"/>
        </w:rPr>
        <w:t>d</w:t>
      </w:r>
      <w:r w:rsidRPr="00EB08FF">
        <w:rPr>
          <w:sz w:val="24"/>
          <w:szCs w:val="24"/>
          <w:lang w:val="it-IT"/>
        </w:rPr>
        <w:t xml:space="preserve"> associazioni di </w:t>
      </w:r>
      <w:r w:rsidR="00EA148F" w:rsidRPr="00EB08FF">
        <w:rPr>
          <w:sz w:val="24"/>
          <w:szCs w:val="24"/>
          <w:lang w:val="it-IT"/>
        </w:rPr>
        <w:t>connazionali</w:t>
      </w:r>
      <w:r w:rsidRPr="00EB08FF">
        <w:rPr>
          <w:sz w:val="24"/>
          <w:szCs w:val="24"/>
          <w:lang w:val="it-IT"/>
        </w:rPr>
        <w:t xml:space="preserve"> cercando di </w:t>
      </w:r>
      <w:r w:rsidR="00EA148F" w:rsidRPr="00EB08FF">
        <w:rPr>
          <w:sz w:val="24"/>
          <w:szCs w:val="24"/>
          <w:lang w:val="it-IT"/>
        </w:rPr>
        <w:t xml:space="preserve">superare </w:t>
      </w:r>
      <w:r w:rsidRPr="00EB08FF">
        <w:rPr>
          <w:sz w:val="24"/>
          <w:szCs w:val="24"/>
          <w:lang w:val="it-IT"/>
        </w:rPr>
        <w:t xml:space="preserve">questa mancanza di conoscenza della tecnologia e di facilitare </w:t>
      </w:r>
      <w:r w:rsidR="00EA148F" w:rsidRPr="00EB08FF">
        <w:rPr>
          <w:sz w:val="24"/>
          <w:szCs w:val="24"/>
          <w:lang w:val="it-IT"/>
        </w:rPr>
        <w:t>eventuali</w:t>
      </w:r>
      <w:r w:rsidRPr="00EB08FF">
        <w:rPr>
          <w:sz w:val="24"/>
          <w:szCs w:val="24"/>
          <w:lang w:val="it-IT"/>
        </w:rPr>
        <w:t xml:space="preserve"> procedure telematiche necessarie per la loro situazione, ma scoprono che il livello di tecnologie dell'informazione e della </w:t>
      </w:r>
      <w:r w:rsidR="00EB08FF" w:rsidRPr="00EB08FF">
        <w:rPr>
          <w:sz w:val="24"/>
          <w:szCs w:val="24"/>
          <w:lang w:val="it-IT"/>
        </w:rPr>
        <w:t xml:space="preserve">stessa </w:t>
      </w:r>
      <w:r w:rsidRPr="00EB08FF">
        <w:rPr>
          <w:sz w:val="24"/>
          <w:szCs w:val="24"/>
          <w:lang w:val="it-IT"/>
        </w:rPr>
        <w:t xml:space="preserve">comunicazione utilizzato dalle associazioni di immigrati è piuttosto basso, con solo il 46% di tutte le associazioni </w:t>
      </w:r>
      <w:r w:rsidR="00EB08FF" w:rsidRPr="00EB08FF">
        <w:rPr>
          <w:sz w:val="24"/>
          <w:szCs w:val="24"/>
          <w:lang w:val="it-IT"/>
        </w:rPr>
        <w:t xml:space="preserve">di questo tipo </w:t>
      </w:r>
      <w:r w:rsidRPr="00EB08FF">
        <w:rPr>
          <w:sz w:val="24"/>
          <w:szCs w:val="24"/>
          <w:lang w:val="it-IT"/>
        </w:rPr>
        <w:t xml:space="preserve">che hanno </w:t>
      </w:r>
      <w:r w:rsidR="00EB08FF" w:rsidRPr="00EB08FF">
        <w:rPr>
          <w:sz w:val="24"/>
          <w:szCs w:val="24"/>
          <w:lang w:val="it-IT"/>
        </w:rPr>
        <w:t xml:space="preserve">delle modalità di </w:t>
      </w:r>
      <w:r w:rsidRPr="00EB08FF">
        <w:rPr>
          <w:sz w:val="24"/>
          <w:szCs w:val="24"/>
          <w:lang w:val="it-IT"/>
        </w:rPr>
        <w:t>presenza sul web (Parra e Vásquez, 2020).</w:t>
      </w:r>
    </w:p>
    <w:p w14:paraId="4068DA2E" w14:textId="77777777" w:rsidR="00356D06" w:rsidRPr="00EB08FF" w:rsidRDefault="001E1DCB">
      <w:pPr>
        <w:rPr>
          <w:color w:val="000000"/>
          <w:sz w:val="24"/>
          <w:szCs w:val="24"/>
          <w:lang w:val="it-IT"/>
        </w:rPr>
      </w:pPr>
      <w:r w:rsidRPr="00EB08FF">
        <w:rPr>
          <w:color w:val="000000"/>
          <w:sz w:val="24"/>
          <w:szCs w:val="24"/>
          <w:lang w:val="it-IT"/>
        </w:rPr>
        <w:t xml:space="preserve">La rilevanza di questa forma di alfabetizzazione </w:t>
      </w:r>
      <w:r w:rsidR="005015A9" w:rsidRPr="00EB08FF">
        <w:rPr>
          <w:color w:val="000000"/>
          <w:sz w:val="24"/>
          <w:szCs w:val="24"/>
          <w:lang w:val="it-IT"/>
        </w:rPr>
        <w:t xml:space="preserve">digitale nel campo della salute </w:t>
      </w:r>
      <w:r w:rsidRPr="00EB08FF">
        <w:rPr>
          <w:color w:val="000000"/>
          <w:sz w:val="24"/>
          <w:szCs w:val="24"/>
          <w:lang w:val="it-IT"/>
        </w:rPr>
        <w:t xml:space="preserve">è stata dimostrata da studi recenti, che hanno evidenziato come le competenze auto-percepite dalle persone nell'uso delle informazioni online </w:t>
      </w:r>
      <w:r w:rsidR="00EB08FF" w:rsidRPr="00EB08FF">
        <w:rPr>
          <w:color w:val="000000"/>
          <w:sz w:val="24"/>
          <w:szCs w:val="24"/>
          <w:lang w:val="it-IT"/>
        </w:rPr>
        <w:t>possano influire</w:t>
      </w:r>
      <w:r w:rsidRPr="00EB08FF">
        <w:rPr>
          <w:color w:val="000000"/>
          <w:sz w:val="24"/>
          <w:szCs w:val="24"/>
          <w:lang w:val="it-IT"/>
        </w:rPr>
        <w:t xml:space="preserve"> effettivamente sulla loro salute e sulla qualità dell'assistenza sanitaria</w:t>
      </w:r>
      <w:r w:rsidR="005015A9" w:rsidRPr="00EB08FF">
        <w:rPr>
          <w:color w:val="000000"/>
          <w:sz w:val="24"/>
          <w:szCs w:val="24"/>
          <w:lang w:val="it-IT"/>
        </w:rPr>
        <w:t xml:space="preserve"> e dell’accesso ai servizi</w:t>
      </w:r>
      <w:r w:rsidRPr="00EB08FF">
        <w:rPr>
          <w:color w:val="000000"/>
          <w:sz w:val="24"/>
          <w:szCs w:val="24"/>
          <w:lang w:val="it-IT"/>
        </w:rPr>
        <w:t xml:space="preserve">, e che la mancanza di tali competenze possa portare a </w:t>
      </w:r>
      <w:r w:rsidR="005015A9" w:rsidRPr="00EB08FF">
        <w:rPr>
          <w:color w:val="000000"/>
          <w:sz w:val="24"/>
          <w:szCs w:val="24"/>
          <w:lang w:val="it-IT"/>
        </w:rPr>
        <w:t>diverse problematiche</w:t>
      </w:r>
      <w:r w:rsidR="00EB08FF" w:rsidRPr="00EB08FF">
        <w:rPr>
          <w:color w:val="000000"/>
          <w:sz w:val="24"/>
          <w:szCs w:val="24"/>
          <w:lang w:val="it-IT"/>
        </w:rPr>
        <w:t xml:space="preserve"> in questi campi</w:t>
      </w:r>
      <w:r w:rsidRPr="00EB08FF">
        <w:rPr>
          <w:color w:val="000000"/>
          <w:sz w:val="24"/>
          <w:szCs w:val="24"/>
          <w:lang w:val="it-IT"/>
        </w:rPr>
        <w:t xml:space="preserve">. Hsu et al. (Hsu et al., 2014) hanno scoperto che le competenze digitali in materia di salute </w:t>
      </w:r>
      <w:r w:rsidR="005015A9" w:rsidRPr="00EB08FF">
        <w:rPr>
          <w:color w:val="000000"/>
          <w:sz w:val="24"/>
          <w:szCs w:val="24"/>
          <w:lang w:val="it-IT"/>
        </w:rPr>
        <w:t>possono essere associate</w:t>
      </w:r>
      <w:r w:rsidRPr="00EB08FF">
        <w:rPr>
          <w:color w:val="000000"/>
          <w:sz w:val="24"/>
          <w:szCs w:val="24"/>
          <w:lang w:val="it-IT"/>
        </w:rPr>
        <w:t xml:space="preserve"> a vari tipi di </w:t>
      </w:r>
      <w:r w:rsidR="005015A9" w:rsidRPr="00EB08FF">
        <w:rPr>
          <w:color w:val="000000"/>
          <w:sz w:val="24"/>
          <w:szCs w:val="24"/>
          <w:lang w:val="it-IT"/>
        </w:rPr>
        <w:t>buone pratiche sanitarie, come ad esempio avere una sana a</w:t>
      </w:r>
      <w:r w:rsidRPr="00EB08FF">
        <w:rPr>
          <w:color w:val="000000"/>
          <w:sz w:val="24"/>
          <w:szCs w:val="24"/>
          <w:lang w:val="it-IT"/>
        </w:rPr>
        <w:t>limentazione</w:t>
      </w:r>
      <w:r w:rsidR="00EB08FF" w:rsidRPr="00EB08FF">
        <w:rPr>
          <w:color w:val="000000"/>
          <w:sz w:val="24"/>
          <w:szCs w:val="24"/>
          <w:lang w:val="it-IT"/>
        </w:rPr>
        <w:t xml:space="preserve"> o</w:t>
      </w:r>
      <w:r w:rsidRPr="00EB08FF">
        <w:rPr>
          <w:color w:val="000000"/>
          <w:sz w:val="24"/>
          <w:szCs w:val="24"/>
          <w:lang w:val="it-IT"/>
        </w:rPr>
        <w:t xml:space="preserve"> </w:t>
      </w:r>
      <w:r w:rsidR="005015A9" w:rsidRPr="00EB08FF">
        <w:rPr>
          <w:color w:val="000000"/>
          <w:sz w:val="24"/>
          <w:szCs w:val="24"/>
          <w:lang w:val="it-IT"/>
        </w:rPr>
        <w:lastRenderedPageBreak/>
        <w:t xml:space="preserve">praticare regolarmente </w:t>
      </w:r>
      <w:r w:rsidRPr="00EB08FF">
        <w:rPr>
          <w:color w:val="000000"/>
          <w:sz w:val="24"/>
          <w:szCs w:val="24"/>
          <w:lang w:val="it-IT"/>
        </w:rPr>
        <w:t xml:space="preserve">esercizio fisico. Neter e Brainin (Neter &amp; Brainin, 2012) hanno </w:t>
      </w:r>
      <w:r w:rsidR="00EB08FF" w:rsidRPr="00EB08FF">
        <w:rPr>
          <w:color w:val="000000"/>
          <w:sz w:val="24"/>
          <w:szCs w:val="24"/>
          <w:lang w:val="it-IT"/>
        </w:rPr>
        <w:t>messo in relazione l’</w:t>
      </w:r>
      <w:r w:rsidRPr="00EB08FF">
        <w:rPr>
          <w:color w:val="000000"/>
          <w:sz w:val="24"/>
          <w:szCs w:val="24"/>
          <w:lang w:val="it-IT"/>
        </w:rPr>
        <w:t xml:space="preserve">alfabetizzazione sanitaria digitale </w:t>
      </w:r>
      <w:r w:rsidR="00EB08FF" w:rsidRPr="00EB08FF">
        <w:rPr>
          <w:color w:val="000000"/>
          <w:sz w:val="24"/>
          <w:szCs w:val="24"/>
          <w:lang w:val="it-IT"/>
        </w:rPr>
        <w:t>con</w:t>
      </w:r>
      <w:r w:rsidRPr="00EB08FF">
        <w:rPr>
          <w:color w:val="000000"/>
          <w:sz w:val="24"/>
          <w:szCs w:val="24"/>
          <w:lang w:val="it-IT"/>
        </w:rPr>
        <w:t xml:space="preserve"> la presenza di malattie croniche, </w:t>
      </w:r>
      <w:r w:rsidR="00EB08FF" w:rsidRPr="00EB08FF">
        <w:rPr>
          <w:color w:val="000000"/>
          <w:sz w:val="24"/>
          <w:szCs w:val="24"/>
          <w:lang w:val="it-IT"/>
        </w:rPr>
        <w:t>evidenziando come una maggiore alfabetizzazione di questo tipo garantisca una</w:t>
      </w:r>
      <w:r w:rsidRPr="00EB08FF">
        <w:rPr>
          <w:color w:val="000000"/>
          <w:sz w:val="24"/>
          <w:szCs w:val="24"/>
          <w:lang w:val="it-IT"/>
        </w:rPr>
        <w:t xml:space="preserve"> capacità di autogestione percepit</w:t>
      </w:r>
      <w:r w:rsidR="00EB08FF" w:rsidRPr="00EB08FF">
        <w:rPr>
          <w:color w:val="000000"/>
          <w:sz w:val="24"/>
          <w:szCs w:val="24"/>
          <w:lang w:val="it-IT"/>
        </w:rPr>
        <w:t>a</w:t>
      </w:r>
      <w:r w:rsidRPr="00EB08FF">
        <w:rPr>
          <w:color w:val="000000"/>
          <w:sz w:val="24"/>
          <w:szCs w:val="24"/>
          <w:lang w:val="it-IT"/>
        </w:rPr>
        <w:t xml:space="preserve"> e una migliore comprensione del</w:t>
      </w:r>
      <w:r w:rsidR="00EB08FF" w:rsidRPr="00EB08FF">
        <w:rPr>
          <w:color w:val="000000"/>
          <w:sz w:val="24"/>
          <w:szCs w:val="24"/>
          <w:lang w:val="it-IT"/>
        </w:rPr>
        <w:t xml:space="preserve"> proprio</w:t>
      </w:r>
      <w:r w:rsidRPr="00EB08FF">
        <w:rPr>
          <w:color w:val="000000"/>
          <w:sz w:val="24"/>
          <w:szCs w:val="24"/>
          <w:lang w:val="it-IT"/>
        </w:rPr>
        <w:t xml:space="preserve"> stato di salute, dei sintomi e dei trattamenti opzionali.</w:t>
      </w:r>
    </w:p>
    <w:p w14:paraId="1186EC35" w14:textId="77777777" w:rsidR="00FD1591" w:rsidRPr="00EB08FF" w:rsidRDefault="00FD1591">
      <w:pPr>
        <w:rPr>
          <w:sz w:val="24"/>
          <w:szCs w:val="24"/>
          <w:lang w:val="it-IT"/>
        </w:rPr>
      </w:pPr>
    </w:p>
    <w:p w14:paraId="00206A66" w14:textId="77777777" w:rsidR="00356D06" w:rsidRPr="00EB08FF" w:rsidRDefault="001E1DCB">
      <w:pPr>
        <w:rPr>
          <w:color w:val="000000"/>
          <w:sz w:val="24"/>
          <w:szCs w:val="24"/>
          <w:lang w:val="it-IT"/>
        </w:rPr>
      </w:pPr>
      <w:r w:rsidRPr="00EB08FF">
        <w:rPr>
          <w:b/>
          <w:sz w:val="24"/>
          <w:szCs w:val="24"/>
          <w:lang w:val="it-IT"/>
        </w:rPr>
        <w:t xml:space="preserve">Disclaimer: </w:t>
      </w:r>
      <w:r w:rsidRPr="00EB08FF">
        <w:rPr>
          <w:sz w:val="24"/>
          <w:szCs w:val="24"/>
          <w:lang w:val="it-IT"/>
        </w:rPr>
        <w:t>i riferimenti e le fonti di informazione utilizzati nella costruzione dei materiali provengono, in generale, dall'OMS, dalla Commissione Europea e da fonti e risorse specializzate in ciascuno dei Paesi appartenenti al consorzio. Per ulteriori informazioni, consultare il Modulo 5.</w:t>
      </w:r>
      <w:r w:rsidRPr="00EB08FF">
        <w:rPr>
          <w:lang w:val="it-IT"/>
        </w:rPr>
        <w:br w:type="page"/>
      </w:r>
    </w:p>
    <w:p w14:paraId="769E86EB" w14:textId="77777777" w:rsidR="00356D06" w:rsidRPr="00EB08FF" w:rsidRDefault="001E1DCB">
      <w:pPr>
        <w:pStyle w:val="1"/>
        <w:rPr>
          <w:lang w:val="it-IT"/>
        </w:rPr>
      </w:pPr>
      <w:bookmarkStart w:id="8" w:name="_Toc103249340"/>
      <w:r w:rsidRPr="00EB08FF">
        <w:rPr>
          <w:lang w:val="it-IT"/>
        </w:rPr>
        <w:lastRenderedPageBreak/>
        <w:t>Riferimenti</w:t>
      </w:r>
      <w:bookmarkEnd w:id="8"/>
    </w:p>
    <w:p w14:paraId="3AAAEA99" w14:textId="77777777" w:rsidR="00356D06" w:rsidRPr="00EB08FF" w:rsidRDefault="001E1DCB">
      <w:pPr>
        <w:rPr>
          <w:lang w:val="it-IT"/>
        </w:rPr>
      </w:pPr>
      <w:r w:rsidRPr="00EB08FF">
        <w:rPr>
          <w:lang w:val="it-IT"/>
        </w:rPr>
        <w:t xml:space="preserve">Commissione europea (2022). Guida al programma ERASMUS +. Versione 2. </w:t>
      </w:r>
    </w:p>
    <w:p w14:paraId="49F6AFCC" w14:textId="77777777" w:rsidR="00EB08FF" w:rsidRPr="00EB08FF" w:rsidRDefault="00EB08FF" w:rsidP="00EB08FF">
      <w:pPr>
        <w:rPr>
          <w:lang w:val="it-IT"/>
        </w:rPr>
      </w:pPr>
      <w:r w:rsidRPr="00EB08FF">
        <w:rPr>
          <w:lang w:val="it-IT"/>
        </w:rPr>
        <w:t>Hsu W, Chiang C, Yang S. El efecto de los factores individuales en los comportamientos de salud entre los estudiantes universitarios: los efectos mediadores de la alfabetización eHealth. J Med Internet Res 2014;16(12):e287 [FREE Full text] [doi: 10.2196/jmir.3542] [Medline:25499086]</w:t>
      </w:r>
    </w:p>
    <w:p w14:paraId="17C2F223" w14:textId="77777777" w:rsidR="00EB08FF" w:rsidRPr="00EB08FF" w:rsidRDefault="00EB08FF" w:rsidP="00EB08FF">
      <w:pPr>
        <w:rPr>
          <w:lang w:val="it-IT"/>
        </w:rPr>
      </w:pPr>
      <w:r w:rsidRPr="00EB08FF">
        <w:rPr>
          <w:lang w:val="it-IT"/>
        </w:rPr>
        <w:t>Neter E, Brainin E. eHealth literacy: extending the digital divide to the realm of health information. J Med Internet Res 2012 Jan;14(1):e19 [FREE Full text] [doi: 10.2196/jmir.1619] [Medline: 22357448]</w:t>
      </w:r>
    </w:p>
    <w:p w14:paraId="2CCFF811" w14:textId="77777777" w:rsidR="00EB08FF" w:rsidRPr="00EB08FF" w:rsidRDefault="00EB08FF" w:rsidP="00EB08FF">
      <w:pPr>
        <w:rPr>
          <w:lang w:val="it-IT"/>
        </w:rPr>
      </w:pPr>
      <w:r w:rsidRPr="00EB08FF">
        <w:rPr>
          <w:lang w:val="it-IT"/>
        </w:rPr>
        <w:t xml:space="preserve">Norman, C.; Skinner, H. (2006). eHealth Literacy: Essential Skills for Consumer Health in a Networked World. </w:t>
      </w:r>
      <w:r w:rsidRPr="00EB08FF">
        <w:rPr>
          <w:i/>
          <w:lang w:val="it-IT"/>
        </w:rPr>
        <w:t xml:space="preserve">J Med Internet Res </w:t>
      </w:r>
      <w:r w:rsidRPr="00EB08FF">
        <w:rPr>
          <w:lang w:val="it-IT"/>
        </w:rPr>
        <w:t>8(2):e9. DOI: 10.2196/jmir.8.2.e9</w:t>
      </w:r>
    </w:p>
    <w:p w14:paraId="416C655D" w14:textId="77777777" w:rsidR="00EB08FF" w:rsidRPr="00EB08FF" w:rsidRDefault="00EB08FF" w:rsidP="00EB08FF">
      <w:pPr>
        <w:rPr>
          <w:lang w:val="it-IT"/>
        </w:rPr>
      </w:pPr>
      <w:r w:rsidRPr="00EB08FF">
        <w:rPr>
          <w:lang w:val="it-IT"/>
        </w:rPr>
        <w:t>Parra, J. C. T., y Vásquez, J. E. T. (2020). Uso de redes sociales y brecha digital en el tejido asociativo inmigrante en España. TERRA: Revista de Desarrollo Local, (7), 263- 284.</w:t>
      </w:r>
    </w:p>
    <w:p w14:paraId="76797BAC" w14:textId="77777777" w:rsidR="00EB08FF" w:rsidRPr="00EB08FF" w:rsidRDefault="00EB08FF" w:rsidP="00EB08FF">
      <w:pPr>
        <w:rPr>
          <w:lang w:val="it-IT"/>
        </w:rPr>
      </w:pPr>
      <w:r w:rsidRPr="00EB08FF">
        <w:rPr>
          <w:lang w:val="it-IT"/>
        </w:rPr>
        <w:t>van der Vaart, Rosalie y Drossaert, Constance. (2017). Desarrollo del instrumento de alfabetización sanitaria digital: Midiendo un amplio espectro de habilidades de salud 1.0 y salud 2.0. Revista de investigación médica en Internet. 19. e27. 10.2196/jmir.6709.</w:t>
      </w:r>
    </w:p>
    <w:p w14:paraId="2D8A5BFD" w14:textId="77777777" w:rsidR="00EB08FF" w:rsidRPr="00EB08FF" w:rsidRDefault="00EB08FF" w:rsidP="00EB08FF">
      <w:pPr>
        <w:rPr>
          <w:lang w:val="it-IT"/>
        </w:rPr>
      </w:pPr>
      <w:r w:rsidRPr="00EB08FF">
        <w:rPr>
          <w:lang w:val="it-IT"/>
        </w:rPr>
        <w:t xml:space="preserve">Organización Mundial de la Salud [OMS]. 2017. </w:t>
      </w:r>
      <w:r w:rsidRPr="00EB08FF">
        <w:rPr>
          <w:i/>
          <w:lang w:val="it-IT"/>
        </w:rPr>
        <w:t xml:space="preserve">Digital Health Literacy. </w:t>
      </w:r>
      <w:r w:rsidRPr="00EB08FF">
        <w:rPr>
          <w:lang w:val="it-IT"/>
        </w:rPr>
        <w:t>https://www.who.int/global-coordination-mechanism/working-groups/digital_hl.pdf</w:t>
      </w:r>
    </w:p>
    <w:p w14:paraId="2FF7BEF8" w14:textId="77777777" w:rsidR="00FD1591" w:rsidRDefault="00FD1591">
      <w:pPr>
        <w:pBdr>
          <w:top w:val="nil"/>
          <w:left w:val="nil"/>
          <w:bottom w:val="nil"/>
          <w:right w:val="nil"/>
          <w:between w:val="nil"/>
        </w:pBdr>
        <w:rPr>
          <w:color w:val="000000"/>
          <w:sz w:val="24"/>
          <w:szCs w:val="24"/>
        </w:rPr>
      </w:pPr>
    </w:p>
    <w:p w14:paraId="4E660390" w14:textId="77777777" w:rsidR="00FD1591" w:rsidRDefault="00FD1591">
      <w:pPr>
        <w:pBdr>
          <w:top w:val="nil"/>
          <w:left w:val="nil"/>
          <w:bottom w:val="nil"/>
          <w:right w:val="nil"/>
          <w:between w:val="nil"/>
        </w:pBdr>
        <w:rPr>
          <w:color w:val="000000"/>
          <w:sz w:val="24"/>
          <w:szCs w:val="24"/>
        </w:rPr>
      </w:pPr>
    </w:p>
    <w:p w14:paraId="3AA3927D" w14:textId="77777777" w:rsidR="00FD1591" w:rsidRDefault="00FD1591">
      <w:pPr>
        <w:pBdr>
          <w:top w:val="nil"/>
          <w:left w:val="nil"/>
          <w:bottom w:val="nil"/>
          <w:right w:val="nil"/>
          <w:between w:val="nil"/>
        </w:pBdr>
        <w:ind w:left="1440"/>
        <w:rPr>
          <w:color w:val="000000"/>
          <w:sz w:val="24"/>
          <w:szCs w:val="24"/>
        </w:rPr>
      </w:pPr>
    </w:p>
    <w:p w14:paraId="3037A3D2" w14:textId="77777777" w:rsidR="00FD1591" w:rsidRDefault="00FD1591">
      <w:pPr>
        <w:pBdr>
          <w:top w:val="nil"/>
          <w:left w:val="nil"/>
          <w:bottom w:val="nil"/>
          <w:right w:val="nil"/>
          <w:between w:val="nil"/>
        </w:pBdr>
        <w:rPr>
          <w:color w:val="000000"/>
          <w:sz w:val="24"/>
          <w:szCs w:val="24"/>
        </w:rPr>
      </w:pPr>
    </w:p>
    <w:p w14:paraId="61948408" w14:textId="77777777" w:rsidR="00FD1591" w:rsidRDefault="000C74B4">
      <w:pPr>
        <w:pBdr>
          <w:top w:val="nil"/>
          <w:left w:val="nil"/>
          <w:bottom w:val="nil"/>
          <w:right w:val="nil"/>
          <w:between w:val="nil"/>
        </w:pBdr>
        <w:rPr>
          <w:color w:val="000000"/>
          <w:sz w:val="24"/>
          <w:szCs w:val="24"/>
        </w:rPr>
      </w:pPr>
      <w:r>
        <w:rPr>
          <w:color w:val="000000"/>
          <w:sz w:val="24"/>
          <w:szCs w:val="24"/>
        </w:rPr>
        <w:t xml:space="preserve"> </w:t>
      </w:r>
    </w:p>
    <w:p w14:paraId="199A1175" w14:textId="77777777" w:rsidR="00FD1591" w:rsidRDefault="00FD1591">
      <w:pPr>
        <w:pBdr>
          <w:top w:val="nil"/>
          <w:left w:val="nil"/>
          <w:bottom w:val="nil"/>
          <w:right w:val="nil"/>
          <w:between w:val="nil"/>
        </w:pBdr>
        <w:rPr>
          <w:color w:val="000000"/>
          <w:sz w:val="24"/>
          <w:szCs w:val="24"/>
        </w:rPr>
      </w:pPr>
    </w:p>
    <w:p w14:paraId="469C7438" w14:textId="77777777" w:rsidR="00FD1591" w:rsidRDefault="00FD1591">
      <w:pPr>
        <w:pBdr>
          <w:top w:val="nil"/>
          <w:left w:val="nil"/>
          <w:bottom w:val="nil"/>
          <w:right w:val="nil"/>
          <w:between w:val="nil"/>
        </w:pBdr>
        <w:rPr>
          <w:color w:val="000000"/>
          <w:sz w:val="24"/>
          <w:szCs w:val="24"/>
        </w:rPr>
      </w:pPr>
    </w:p>
    <w:p w14:paraId="7B236374" w14:textId="77777777" w:rsidR="00FD1591" w:rsidRDefault="00FD1591">
      <w:pPr>
        <w:pBdr>
          <w:top w:val="nil"/>
          <w:left w:val="nil"/>
          <w:bottom w:val="nil"/>
          <w:right w:val="nil"/>
          <w:between w:val="nil"/>
        </w:pBdr>
        <w:rPr>
          <w:color w:val="000000"/>
          <w:sz w:val="24"/>
          <w:szCs w:val="24"/>
        </w:rPr>
      </w:pPr>
    </w:p>
    <w:p w14:paraId="17AB548D" w14:textId="77777777" w:rsidR="00FD1591" w:rsidRDefault="00FD1591">
      <w:pPr>
        <w:pBdr>
          <w:top w:val="nil"/>
          <w:left w:val="nil"/>
          <w:bottom w:val="nil"/>
          <w:right w:val="nil"/>
          <w:between w:val="nil"/>
        </w:pBdr>
        <w:rPr>
          <w:color w:val="000000"/>
          <w:sz w:val="24"/>
          <w:szCs w:val="24"/>
        </w:rPr>
      </w:pPr>
    </w:p>
    <w:sectPr w:rsidR="00FD1591">
      <w:footerReference w:type="default" r:id="rId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A163" w14:textId="77777777" w:rsidR="00E4475D" w:rsidRDefault="00E4475D">
      <w:pPr>
        <w:spacing w:after="0" w:line="240" w:lineRule="auto"/>
      </w:pPr>
      <w:r>
        <w:separator/>
      </w:r>
    </w:p>
  </w:endnote>
  <w:endnote w:type="continuationSeparator" w:id="0">
    <w:p w14:paraId="047A0DFE" w14:textId="77777777" w:rsidR="00E4475D" w:rsidRDefault="00E4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26D0" w14:textId="77777777" w:rsidR="00573809" w:rsidRDefault="00573809" w:rsidP="00776DC9">
    <w:pPr>
      <w:pStyle w:val="a5"/>
    </w:pPr>
  </w:p>
  <w:p w14:paraId="11EAE3F7" w14:textId="77777777" w:rsidR="00573809" w:rsidRDefault="00573809"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314" w14:textId="77777777" w:rsidR="00356D06" w:rsidRDefault="001E1DCB">
    <w:pPr>
      <w:pStyle w:val="a5"/>
      <w:jc w:val="center"/>
      <w:rPr>
        <w:sz w:val="14"/>
      </w:rPr>
    </w:pPr>
    <w:proofErr w:type="spellStart"/>
    <w:r w:rsidRPr="00573809">
      <w:rPr>
        <w:sz w:val="16"/>
        <w:szCs w:val="24"/>
      </w:rPr>
      <w:t>Contratto</w:t>
    </w:r>
    <w:proofErr w:type="spellEnd"/>
    <w:r w:rsidRPr="00573809">
      <w:rPr>
        <w:sz w:val="16"/>
        <w:szCs w:val="24"/>
      </w:rPr>
      <w:t xml:space="preserve"> n. 2020-1-DE02-KA204-007679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0C79"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p w14:paraId="076B801C"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577"/>
      <w:docPartObj>
        <w:docPartGallery w:val="Page Numbers (Bottom of Page)"/>
        <w:docPartUnique/>
      </w:docPartObj>
    </w:sdtPr>
    <w:sdtContent>
      <w:p w14:paraId="3B6411D6" w14:textId="77777777" w:rsidR="00356D06" w:rsidRDefault="001E1DCB">
        <w:pPr>
          <w:pStyle w:val="a5"/>
          <w:jc w:val="right"/>
        </w:pPr>
        <w:r>
          <w:fldChar w:fldCharType="begin"/>
        </w:r>
        <w:r>
          <w:instrText>PAGE   \* MERGEFORMAT</w:instrText>
        </w:r>
        <w:r>
          <w:fldChar w:fldCharType="separate"/>
        </w:r>
        <w:r w:rsidR="002E6A98" w:rsidRPr="002E6A98">
          <w:rPr>
            <w:noProof/>
            <w:lang w:val="de-DE"/>
          </w:rPr>
          <w:t>7</w:t>
        </w:r>
        <w:r>
          <w:fldChar w:fldCharType="end"/>
        </w:r>
      </w:p>
    </w:sdtContent>
  </w:sdt>
  <w:p w14:paraId="090D173C" w14:textId="77777777" w:rsidR="00573809" w:rsidRDefault="005738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3F8C" w14:textId="77777777" w:rsidR="00E4475D" w:rsidRDefault="00E4475D">
      <w:pPr>
        <w:spacing w:after="0" w:line="240" w:lineRule="auto"/>
      </w:pPr>
      <w:r>
        <w:separator/>
      </w:r>
    </w:p>
  </w:footnote>
  <w:footnote w:type="continuationSeparator" w:id="0">
    <w:p w14:paraId="381D8581" w14:textId="77777777" w:rsidR="00E4475D" w:rsidRDefault="00E44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3BF4" w14:textId="77777777" w:rsidR="00573809" w:rsidRDefault="00573809">
    <w:pPr>
      <w:pStyle w:val="a4"/>
    </w:pPr>
  </w:p>
  <w:p w14:paraId="2085C819" w14:textId="77777777" w:rsidR="00573809" w:rsidRPr="00A335EA" w:rsidRDefault="00573809"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FD95" w14:textId="77777777" w:rsidR="00573809" w:rsidRDefault="00573809"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4C63" w14:textId="77777777" w:rsidR="00FD1591" w:rsidRDefault="000C74B4">
    <w:pPr>
      <w:ind w:left="-284"/>
    </w:pPr>
    <w:r>
      <w:rPr>
        <w:noProof/>
        <w:lang w:val="de-DE"/>
      </w:rPr>
      <w:drawing>
        <wp:inline distT="0" distB="0" distL="0" distR="0" wp14:anchorId="24FA3D7C" wp14:editId="2F157D36">
          <wp:extent cx="2614930" cy="745808"/>
          <wp:effectExtent l="0" t="0" r="0" b="0"/>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573809">
      <w:rPr>
        <w:noProof/>
        <w:lang w:val="de-DE"/>
      </w:rPr>
      <w:drawing>
        <wp:inline distT="0" distB="0" distL="0" distR="0" wp14:anchorId="66715F2D" wp14:editId="265D2408">
          <wp:extent cx="1924050" cy="552450"/>
          <wp:effectExtent l="0" t="0" r="0" b="0"/>
          <wp:docPr id="4" name="Grafik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6004381">
    <w:abstractNumId w:val="1"/>
  </w:num>
  <w:num w:numId="2" w16cid:durableId="14748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721B5"/>
    <w:rsid w:val="000C35CC"/>
    <w:rsid w:val="000C74B4"/>
    <w:rsid w:val="000F4B80"/>
    <w:rsid w:val="001E1DCB"/>
    <w:rsid w:val="002E6A98"/>
    <w:rsid w:val="00356D06"/>
    <w:rsid w:val="004E2A30"/>
    <w:rsid w:val="005015A9"/>
    <w:rsid w:val="00573809"/>
    <w:rsid w:val="005B14F7"/>
    <w:rsid w:val="00655978"/>
    <w:rsid w:val="008000EE"/>
    <w:rsid w:val="0086069E"/>
    <w:rsid w:val="009B24FE"/>
    <w:rsid w:val="009D0C06"/>
    <w:rsid w:val="009E4934"/>
    <w:rsid w:val="00AA4FF9"/>
    <w:rsid w:val="00C37CA9"/>
    <w:rsid w:val="00E4475D"/>
    <w:rsid w:val="00E70C36"/>
    <w:rsid w:val="00EA148F"/>
    <w:rsid w:val="00EB08FF"/>
    <w:rsid w:val="00FD1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48A4"/>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image" Target="media/image11.png"/><Relationship Id="rId30"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C07B6-D47F-42F1-9133-930454013E39}">
  <ds:schemaRefs>
    <ds:schemaRef ds:uri="http://schemas.openxmlformats.org/officeDocument/2006/bibliography"/>
  </ds:schemaRefs>
</ds:datastoreItem>
</file>

<file path=customXml/itemProps4.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5.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2743</Words>
  <Characters>14818</Characters>
  <Application>Microsoft Office Word</Application>
  <DocSecurity>0</DocSecurity>
  <Lines>123</Lines>
  <Paragraphs>35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docId:E48EDA1353DEF1D757AE1CD47965F398</cp:keywords>
  <cp:lastModifiedBy>pantelis balaouras</cp:lastModifiedBy>
  <cp:revision>5</cp:revision>
  <cp:lastPrinted>2022-09-06T11:06:00Z</cp:lastPrinted>
  <dcterms:created xsi:type="dcterms:W3CDTF">2022-07-14T12:45:00Z</dcterms:created>
  <dcterms:modified xsi:type="dcterms:W3CDTF">2022-09-06T11:06:00Z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