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9E3CF" w14:textId="77777777" w:rsidR="00D3767C" w:rsidRPr="005A55D8" w:rsidRDefault="00775C71">
      <w:pPr>
        <w:rPr>
          <w:sz w:val="24"/>
          <w:szCs w:val="24"/>
          <w:lang w:val="it-IT"/>
        </w:rPr>
      </w:pPr>
      <w:r w:rsidRPr="005A55D8">
        <w:rPr>
          <w:noProof/>
          <w:sz w:val="24"/>
          <w:szCs w:val="24"/>
          <w:lang w:val="it-IT"/>
        </w:rPr>
        <w:drawing>
          <wp:inline distT="0" distB="0" distL="0" distR="0" wp14:anchorId="4B7B1B8F" wp14:editId="4CDD21E1">
            <wp:extent cx="5731510" cy="1516380"/>
            <wp:effectExtent l="0" t="0" r="0" b="0"/>
            <wp:docPr id="1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5731510" cy="1516380"/>
                    </a:xfrm>
                    <a:prstGeom prst="rect">
                      <a:avLst/>
                    </a:prstGeom>
                    <a:ln/>
                  </pic:spPr>
                </pic:pic>
              </a:graphicData>
            </a:graphic>
          </wp:inline>
        </w:drawing>
      </w:r>
    </w:p>
    <w:p w14:paraId="3D256CBE" w14:textId="77777777" w:rsidR="00D3767C" w:rsidRPr="005A55D8" w:rsidRDefault="00775C71">
      <w:pPr>
        <w:jc w:val="center"/>
        <w:rPr>
          <w:b/>
          <w:color w:val="C00000"/>
          <w:sz w:val="96"/>
          <w:szCs w:val="96"/>
          <w:lang w:val="it-IT"/>
        </w:rPr>
      </w:pPr>
      <w:r w:rsidRPr="005A55D8">
        <w:rPr>
          <w:b/>
          <w:color w:val="C00000"/>
          <w:sz w:val="96"/>
          <w:szCs w:val="96"/>
          <w:lang w:val="it-IT"/>
        </w:rPr>
        <w:t>Manuale</w:t>
      </w:r>
    </w:p>
    <w:p w14:paraId="5FC98844" w14:textId="77777777" w:rsidR="00D3767C" w:rsidRPr="005A55D8" w:rsidRDefault="00775C71">
      <w:pPr>
        <w:jc w:val="center"/>
        <w:rPr>
          <w:b/>
          <w:color w:val="C00000"/>
          <w:sz w:val="32"/>
          <w:szCs w:val="32"/>
          <w:lang w:val="it-IT"/>
        </w:rPr>
      </w:pPr>
      <w:r w:rsidRPr="005A55D8">
        <w:rPr>
          <w:b/>
          <w:color w:val="C00000"/>
          <w:sz w:val="40"/>
          <w:szCs w:val="40"/>
          <w:lang w:val="it-IT"/>
        </w:rPr>
        <w:t>Modulo 2</w:t>
      </w:r>
      <w:r w:rsidRPr="005A55D8">
        <w:rPr>
          <w:b/>
          <w:sz w:val="40"/>
          <w:szCs w:val="40"/>
          <w:lang w:val="it-IT"/>
        </w:rPr>
        <w:br/>
      </w:r>
      <w:r w:rsidRPr="005A55D8">
        <w:rPr>
          <w:sz w:val="40"/>
          <w:szCs w:val="40"/>
          <w:lang w:val="it-IT"/>
        </w:rPr>
        <w:t xml:space="preserve">Principali problemi di salute quando si </w:t>
      </w:r>
      <w:r w:rsidR="00736EFE" w:rsidRPr="005A55D8">
        <w:rPr>
          <w:sz w:val="40"/>
          <w:szCs w:val="40"/>
          <w:lang w:val="it-IT"/>
        </w:rPr>
        <w:t>arriva</w:t>
      </w:r>
      <w:r w:rsidRPr="005A55D8">
        <w:rPr>
          <w:sz w:val="40"/>
          <w:szCs w:val="40"/>
          <w:lang w:val="it-IT"/>
        </w:rPr>
        <w:t xml:space="preserve"> in un nuovo paese</w:t>
      </w:r>
    </w:p>
    <w:p w14:paraId="517D9156" w14:textId="77777777" w:rsidR="00D3767C" w:rsidRPr="005A55D8" w:rsidRDefault="00775C71">
      <w:pPr>
        <w:rPr>
          <w:sz w:val="28"/>
          <w:szCs w:val="28"/>
          <w:lang w:val="it-IT"/>
        </w:rPr>
      </w:pPr>
      <w:r w:rsidRPr="005A55D8">
        <w:rPr>
          <w:b/>
          <w:color w:val="C00000"/>
          <w:sz w:val="32"/>
          <w:szCs w:val="32"/>
          <w:lang w:val="it-IT"/>
        </w:rPr>
        <w:t>Autori:</w:t>
      </w:r>
      <w:r w:rsidRPr="005A55D8">
        <w:rPr>
          <w:b/>
          <w:color w:val="C00000"/>
          <w:sz w:val="32"/>
          <w:szCs w:val="32"/>
          <w:lang w:val="it-IT"/>
        </w:rPr>
        <w:br/>
      </w:r>
      <w:r w:rsidRPr="005A55D8">
        <w:rPr>
          <w:sz w:val="28"/>
          <w:szCs w:val="28"/>
          <w:lang w:val="it-IT"/>
        </w:rPr>
        <w:t>Karin Drda-Kühn, MediaK; Nikole Papaevgeniou, Prolepsis</w:t>
      </w:r>
    </w:p>
    <w:p w14:paraId="593D7B04" w14:textId="77777777" w:rsidR="00D3767C" w:rsidRPr="005A55D8" w:rsidRDefault="00D3767C">
      <w:pPr>
        <w:rPr>
          <w:sz w:val="16"/>
          <w:szCs w:val="16"/>
          <w:lang w:val="it-IT"/>
        </w:rPr>
      </w:pPr>
    </w:p>
    <w:tbl>
      <w:tblPr>
        <w:tblStyle w:val="ae"/>
        <w:tblW w:w="9026"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236"/>
        <w:gridCol w:w="1792"/>
        <w:gridCol w:w="1026"/>
        <w:gridCol w:w="1500"/>
        <w:gridCol w:w="1104"/>
        <w:gridCol w:w="1847"/>
        <w:gridCol w:w="1511"/>
        <w:gridCol w:w="10"/>
      </w:tblGrid>
      <w:tr w:rsidR="00D3767C" w:rsidRPr="005A55D8" w14:paraId="4A3E1734" w14:textId="77777777">
        <w:trPr>
          <w:jc w:val="center"/>
        </w:trPr>
        <w:tc>
          <w:tcPr>
            <w:tcW w:w="1956" w:type="dxa"/>
            <w:gridSpan w:val="2"/>
          </w:tcPr>
          <w:p w14:paraId="26A51C13" w14:textId="77777777" w:rsidR="00D3767C" w:rsidRPr="005A55D8" w:rsidRDefault="00775C71">
            <w:pPr>
              <w:rPr>
                <w:sz w:val="16"/>
                <w:szCs w:val="16"/>
                <w:lang w:val="it-IT"/>
              </w:rPr>
            </w:pPr>
            <w:r w:rsidRPr="005A55D8">
              <w:rPr>
                <w:noProof/>
                <w:sz w:val="16"/>
                <w:szCs w:val="16"/>
                <w:lang w:val="it-IT"/>
              </w:rPr>
              <w:drawing>
                <wp:inline distT="0" distB="0" distL="0" distR="0" wp14:anchorId="5A6981EA" wp14:editId="1CA9CB4C">
                  <wp:extent cx="1125908" cy="634403"/>
                  <wp:effectExtent l="0" t="0" r="0" b="0"/>
                  <wp:docPr id="21"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9"/>
                          <a:srcRect b="18123"/>
                          <a:stretch>
                            <a:fillRect/>
                          </a:stretch>
                        </pic:blipFill>
                        <pic:spPr>
                          <a:xfrm>
                            <a:off x="0" y="0"/>
                            <a:ext cx="1125908" cy="634403"/>
                          </a:xfrm>
                          <a:prstGeom prst="rect">
                            <a:avLst/>
                          </a:prstGeom>
                          <a:ln/>
                        </pic:spPr>
                      </pic:pic>
                    </a:graphicData>
                  </a:graphic>
                </wp:inline>
              </w:drawing>
            </w:r>
          </w:p>
        </w:tc>
        <w:tc>
          <w:tcPr>
            <w:tcW w:w="1036" w:type="dxa"/>
          </w:tcPr>
          <w:p w14:paraId="2732D3A7" w14:textId="77777777" w:rsidR="00D3767C" w:rsidRPr="005A55D8" w:rsidRDefault="00775C71">
            <w:pPr>
              <w:rPr>
                <w:sz w:val="16"/>
                <w:szCs w:val="16"/>
                <w:lang w:val="it-IT"/>
              </w:rPr>
            </w:pPr>
            <w:r w:rsidRPr="005A55D8">
              <w:rPr>
                <w:noProof/>
                <w:lang w:val="it-IT"/>
              </w:rPr>
              <w:drawing>
                <wp:anchor distT="0" distB="0" distL="114300" distR="114300" simplePos="0" relativeHeight="251658240" behindDoc="0" locked="0" layoutInCell="1" hidden="0" allowOverlap="1" wp14:anchorId="38E8DB8E" wp14:editId="583BB239">
                  <wp:simplePos x="0" y="0"/>
                  <wp:positionH relativeFrom="column">
                    <wp:posOffset>33656</wp:posOffset>
                  </wp:positionH>
                  <wp:positionV relativeFrom="paragraph">
                    <wp:posOffset>-230956</wp:posOffset>
                  </wp:positionV>
                  <wp:extent cx="688063" cy="895980"/>
                  <wp:effectExtent l="0" t="0" r="0" b="0"/>
                  <wp:wrapNone/>
                  <wp:docPr id="2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0"/>
                          <a:srcRect l="17249" t="9421" r="16570" b="12063"/>
                          <a:stretch>
                            <a:fillRect/>
                          </a:stretch>
                        </pic:blipFill>
                        <pic:spPr>
                          <a:xfrm>
                            <a:off x="0" y="0"/>
                            <a:ext cx="688063" cy="895980"/>
                          </a:xfrm>
                          <a:prstGeom prst="rect">
                            <a:avLst/>
                          </a:prstGeom>
                          <a:ln/>
                        </pic:spPr>
                      </pic:pic>
                    </a:graphicData>
                  </a:graphic>
                </wp:anchor>
              </w:drawing>
            </w:r>
          </w:p>
        </w:tc>
        <w:tc>
          <w:tcPr>
            <w:tcW w:w="2632" w:type="dxa"/>
            <w:gridSpan w:val="2"/>
          </w:tcPr>
          <w:p w14:paraId="63EE83D5" w14:textId="77777777" w:rsidR="00D3767C" w:rsidRPr="005A55D8" w:rsidRDefault="00775C71">
            <w:pPr>
              <w:rPr>
                <w:sz w:val="16"/>
                <w:szCs w:val="16"/>
                <w:lang w:val="it-IT"/>
              </w:rPr>
            </w:pPr>
            <w:r w:rsidRPr="005A55D8">
              <w:rPr>
                <w:noProof/>
                <w:lang w:val="it-IT"/>
              </w:rPr>
              <w:drawing>
                <wp:anchor distT="0" distB="0" distL="114300" distR="114300" simplePos="0" relativeHeight="251659264" behindDoc="0" locked="0" layoutInCell="1" hidden="0" allowOverlap="1" wp14:anchorId="0531142B" wp14:editId="46DF78D5">
                  <wp:simplePos x="0" y="0"/>
                  <wp:positionH relativeFrom="column">
                    <wp:posOffset>69120</wp:posOffset>
                  </wp:positionH>
                  <wp:positionV relativeFrom="paragraph">
                    <wp:posOffset>126365</wp:posOffset>
                  </wp:positionV>
                  <wp:extent cx="1534538" cy="484360"/>
                  <wp:effectExtent l="0" t="0" r="0" b="0"/>
                  <wp:wrapSquare wrapText="bothSides" distT="0" distB="0" distL="114300" distR="114300"/>
                  <wp:docPr id="1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1"/>
                          <a:srcRect b="22683"/>
                          <a:stretch>
                            <a:fillRect/>
                          </a:stretch>
                        </pic:blipFill>
                        <pic:spPr>
                          <a:xfrm>
                            <a:off x="0" y="0"/>
                            <a:ext cx="1534538" cy="484360"/>
                          </a:xfrm>
                          <a:prstGeom prst="rect">
                            <a:avLst/>
                          </a:prstGeom>
                          <a:ln/>
                        </pic:spPr>
                      </pic:pic>
                    </a:graphicData>
                  </a:graphic>
                </wp:anchor>
              </w:drawing>
            </w:r>
          </w:p>
        </w:tc>
        <w:tc>
          <w:tcPr>
            <w:tcW w:w="1866" w:type="dxa"/>
          </w:tcPr>
          <w:p w14:paraId="50447E3C" w14:textId="77777777" w:rsidR="00D3767C" w:rsidRPr="005A55D8" w:rsidRDefault="00775C71">
            <w:pPr>
              <w:rPr>
                <w:sz w:val="16"/>
                <w:szCs w:val="16"/>
                <w:lang w:val="it-IT"/>
              </w:rPr>
            </w:pPr>
            <w:r w:rsidRPr="005A55D8">
              <w:rPr>
                <w:noProof/>
                <w:sz w:val="16"/>
                <w:szCs w:val="16"/>
                <w:lang w:val="it-IT"/>
              </w:rPr>
              <w:drawing>
                <wp:inline distT="0" distB="0" distL="0" distR="0" wp14:anchorId="062B5A99" wp14:editId="483F638B">
                  <wp:extent cx="1049772" cy="587659"/>
                  <wp:effectExtent l="0" t="0" r="0" b="0"/>
                  <wp:docPr id="15"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2"/>
                          <a:srcRect l="21020" r="20316" b="18194"/>
                          <a:stretch>
                            <a:fillRect/>
                          </a:stretch>
                        </pic:blipFill>
                        <pic:spPr>
                          <a:xfrm>
                            <a:off x="0" y="0"/>
                            <a:ext cx="1049772" cy="587659"/>
                          </a:xfrm>
                          <a:prstGeom prst="rect">
                            <a:avLst/>
                          </a:prstGeom>
                          <a:ln/>
                        </pic:spPr>
                      </pic:pic>
                    </a:graphicData>
                  </a:graphic>
                </wp:inline>
              </w:drawing>
            </w:r>
          </w:p>
        </w:tc>
        <w:tc>
          <w:tcPr>
            <w:tcW w:w="1536" w:type="dxa"/>
            <w:gridSpan w:val="2"/>
          </w:tcPr>
          <w:p w14:paraId="6EABA74D" w14:textId="77777777" w:rsidR="00D3767C" w:rsidRPr="005A55D8" w:rsidRDefault="00775C71">
            <w:pPr>
              <w:rPr>
                <w:sz w:val="16"/>
                <w:szCs w:val="16"/>
                <w:lang w:val="it-IT"/>
              </w:rPr>
            </w:pPr>
            <w:r w:rsidRPr="005A55D8">
              <w:rPr>
                <w:noProof/>
                <w:sz w:val="16"/>
                <w:szCs w:val="16"/>
                <w:lang w:val="it-IT"/>
              </w:rPr>
              <w:drawing>
                <wp:inline distT="0" distB="0" distL="0" distR="0" wp14:anchorId="42DA9BAB" wp14:editId="5792D699">
                  <wp:extent cx="846290" cy="630274"/>
                  <wp:effectExtent l="0" t="0" r="0" b="0"/>
                  <wp:docPr id="20"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3"/>
                          <a:srcRect l="13851" t="35173" r="12037" b="11431"/>
                          <a:stretch>
                            <a:fillRect/>
                          </a:stretch>
                        </pic:blipFill>
                        <pic:spPr>
                          <a:xfrm>
                            <a:off x="0" y="0"/>
                            <a:ext cx="846290" cy="630274"/>
                          </a:xfrm>
                          <a:prstGeom prst="rect">
                            <a:avLst/>
                          </a:prstGeom>
                          <a:ln/>
                        </pic:spPr>
                      </pic:pic>
                    </a:graphicData>
                  </a:graphic>
                </wp:inline>
              </w:drawing>
            </w:r>
          </w:p>
        </w:tc>
      </w:tr>
      <w:tr w:rsidR="00D3767C" w:rsidRPr="005A55D8" w14:paraId="609EA00A" w14:textId="77777777">
        <w:trPr>
          <w:gridAfter w:val="1"/>
          <w:wAfter w:w="10" w:type="dxa"/>
          <w:jc w:val="center"/>
        </w:trPr>
        <w:tc>
          <w:tcPr>
            <w:tcW w:w="142" w:type="dxa"/>
          </w:tcPr>
          <w:p w14:paraId="4B0D04D3" w14:textId="77777777" w:rsidR="00D3767C" w:rsidRPr="005A55D8" w:rsidRDefault="00D3767C">
            <w:pPr>
              <w:widowControl w:val="0"/>
              <w:spacing w:line="276" w:lineRule="auto"/>
              <w:rPr>
                <w:sz w:val="16"/>
                <w:szCs w:val="16"/>
                <w:lang w:val="it-IT"/>
              </w:rPr>
            </w:pPr>
          </w:p>
        </w:tc>
        <w:tc>
          <w:tcPr>
            <w:tcW w:w="4366" w:type="dxa"/>
            <w:gridSpan w:val="3"/>
          </w:tcPr>
          <w:p w14:paraId="4D7EF1D0" w14:textId="77777777" w:rsidR="00D3767C" w:rsidRPr="005A55D8" w:rsidRDefault="00775C71">
            <w:pPr>
              <w:jc w:val="center"/>
              <w:rPr>
                <w:sz w:val="16"/>
                <w:szCs w:val="16"/>
                <w:lang w:val="it-IT"/>
              </w:rPr>
            </w:pPr>
            <w:r w:rsidRPr="005A55D8">
              <w:rPr>
                <w:noProof/>
                <w:sz w:val="16"/>
                <w:szCs w:val="16"/>
                <w:lang w:val="it-IT"/>
              </w:rPr>
              <w:drawing>
                <wp:inline distT="0" distB="0" distL="0" distR="0" wp14:anchorId="373F7F81" wp14:editId="1A0B3C20">
                  <wp:extent cx="930963" cy="386715"/>
                  <wp:effectExtent l="0" t="0" r="0" b="0"/>
                  <wp:docPr id="18"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4"/>
                          <a:srcRect l="9456" r="8192" b="16967"/>
                          <a:stretch>
                            <a:fillRect/>
                          </a:stretch>
                        </pic:blipFill>
                        <pic:spPr>
                          <a:xfrm>
                            <a:off x="0" y="0"/>
                            <a:ext cx="930963" cy="386715"/>
                          </a:xfrm>
                          <a:prstGeom prst="rect">
                            <a:avLst/>
                          </a:prstGeom>
                          <a:ln/>
                        </pic:spPr>
                      </pic:pic>
                    </a:graphicData>
                  </a:graphic>
                </wp:inline>
              </w:drawing>
            </w:r>
          </w:p>
        </w:tc>
        <w:tc>
          <w:tcPr>
            <w:tcW w:w="4508" w:type="dxa"/>
            <w:gridSpan w:val="3"/>
          </w:tcPr>
          <w:p w14:paraId="1A0F8644" w14:textId="77777777" w:rsidR="00D3767C" w:rsidRPr="005A55D8" w:rsidRDefault="00775C71">
            <w:pPr>
              <w:jc w:val="center"/>
              <w:rPr>
                <w:sz w:val="16"/>
                <w:szCs w:val="16"/>
                <w:lang w:val="it-IT"/>
              </w:rPr>
            </w:pPr>
            <w:r w:rsidRPr="005A55D8">
              <w:rPr>
                <w:noProof/>
                <w:sz w:val="16"/>
                <w:szCs w:val="16"/>
                <w:lang w:val="it-IT"/>
              </w:rPr>
              <w:drawing>
                <wp:inline distT="0" distB="0" distL="0" distR="0" wp14:anchorId="3C0E5D4F" wp14:editId="0E1E76B2">
                  <wp:extent cx="1113416" cy="393444"/>
                  <wp:effectExtent l="0" t="0" r="0" b="0"/>
                  <wp:docPr id="16"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5"/>
                          <a:srcRect b="14548"/>
                          <a:stretch>
                            <a:fillRect/>
                          </a:stretch>
                        </pic:blipFill>
                        <pic:spPr>
                          <a:xfrm>
                            <a:off x="0" y="0"/>
                            <a:ext cx="1113416" cy="393444"/>
                          </a:xfrm>
                          <a:prstGeom prst="rect">
                            <a:avLst/>
                          </a:prstGeom>
                          <a:ln/>
                        </pic:spPr>
                      </pic:pic>
                    </a:graphicData>
                  </a:graphic>
                </wp:inline>
              </w:drawing>
            </w:r>
          </w:p>
        </w:tc>
      </w:tr>
    </w:tbl>
    <w:p w14:paraId="406E8875" w14:textId="77777777" w:rsidR="00D3767C" w:rsidRPr="005A55D8" w:rsidRDefault="00775C71">
      <w:pPr>
        <w:rPr>
          <w:sz w:val="16"/>
          <w:szCs w:val="16"/>
          <w:lang w:val="it-IT"/>
        </w:rPr>
      </w:pPr>
      <w:r w:rsidRPr="005A55D8">
        <w:rPr>
          <w:noProof/>
          <w:lang w:val="it-IT"/>
        </w:rPr>
        <w:drawing>
          <wp:anchor distT="0" distB="0" distL="114300" distR="114300" simplePos="0" relativeHeight="251660288" behindDoc="0" locked="0" layoutInCell="1" hidden="0" allowOverlap="1" wp14:anchorId="41BC39B8" wp14:editId="6CFF2461">
            <wp:simplePos x="0" y="0"/>
            <wp:positionH relativeFrom="column">
              <wp:posOffset>-645795</wp:posOffset>
            </wp:positionH>
            <wp:positionV relativeFrom="paragraph">
              <wp:posOffset>236220</wp:posOffset>
            </wp:positionV>
            <wp:extent cx="1683385" cy="622300"/>
            <wp:effectExtent l="0" t="0" r="0" b="6350"/>
            <wp:wrapSquare wrapText="bothSides" distT="0" distB="0" distL="114300" distR="114300"/>
            <wp:docPr id="19" name="image2.jpg" descr="D:\Users\Pictures\Erasmus+ cofunded.jpg"/>
            <wp:cNvGraphicFramePr/>
            <a:graphic xmlns:a="http://schemas.openxmlformats.org/drawingml/2006/main">
              <a:graphicData uri="http://schemas.openxmlformats.org/drawingml/2006/picture">
                <pic:pic xmlns:pic="http://schemas.openxmlformats.org/drawingml/2006/picture">
                  <pic:nvPicPr>
                    <pic:cNvPr id="0" name="image2.jpg" descr="D:\Users\Pictures\Erasmus+ cofunded.jpg"/>
                    <pic:cNvPicPr preferRelativeResize="0"/>
                  </pic:nvPicPr>
                  <pic:blipFill>
                    <a:blip r:embed="rId16"/>
                    <a:srcRect/>
                    <a:stretch>
                      <a:fillRect/>
                    </a:stretch>
                  </pic:blipFill>
                  <pic:spPr>
                    <a:xfrm>
                      <a:off x="0" y="0"/>
                      <a:ext cx="1683385" cy="622300"/>
                    </a:xfrm>
                    <a:prstGeom prst="rect">
                      <a:avLst/>
                    </a:prstGeom>
                    <a:ln/>
                  </pic:spPr>
                </pic:pic>
              </a:graphicData>
            </a:graphic>
            <wp14:sizeRelV relativeFrom="margin">
              <wp14:pctHeight>0</wp14:pctHeight>
            </wp14:sizeRelV>
          </wp:anchor>
        </w:drawing>
      </w:r>
    </w:p>
    <w:p w14:paraId="6B31590F" w14:textId="77777777" w:rsidR="00D3767C" w:rsidRPr="005A55D8" w:rsidRDefault="00775C71">
      <w:pPr>
        <w:rPr>
          <w:sz w:val="16"/>
          <w:szCs w:val="16"/>
          <w:lang w:val="it-IT"/>
        </w:rPr>
        <w:sectPr w:rsidR="00D3767C" w:rsidRPr="005A55D8">
          <w:headerReference w:type="default" r:id="rId17"/>
          <w:footerReference w:type="default" r:id="rId18"/>
          <w:pgSz w:w="11906" w:h="16838"/>
          <w:pgMar w:top="1417" w:right="1417" w:bottom="1134" w:left="1417" w:header="708" w:footer="708" w:gutter="0"/>
          <w:pgNumType w:start="1"/>
          <w:cols w:space="720"/>
        </w:sectPr>
      </w:pPr>
      <w:r w:rsidRPr="005A55D8">
        <w:rPr>
          <w:sz w:val="16"/>
          <w:szCs w:val="16"/>
          <w:lang w:val="it-IT"/>
        </w:rPr>
        <w:t>Il sostegno della Commissione europea alla realizzazione di questa pubblicazione non costituisce un'approvazione dei contenuti, che riflettono esclusivamente le opinioni degli autori</w:t>
      </w:r>
      <w:r w:rsidR="00736EFE" w:rsidRPr="005A55D8">
        <w:rPr>
          <w:sz w:val="16"/>
          <w:szCs w:val="16"/>
          <w:lang w:val="it-IT"/>
        </w:rPr>
        <w:t>.</w:t>
      </w:r>
      <w:r w:rsidRPr="005A55D8">
        <w:rPr>
          <w:sz w:val="16"/>
          <w:szCs w:val="16"/>
          <w:lang w:val="it-IT"/>
        </w:rPr>
        <w:t xml:space="preserve"> </w:t>
      </w:r>
      <w:r w:rsidR="00736EFE" w:rsidRPr="005A55D8">
        <w:rPr>
          <w:sz w:val="16"/>
          <w:szCs w:val="16"/>
          <w:lang w:val="it-IT"/>
        </w:rPr>
        <w:t>L</w:t>
      </w:r>
      <w:r w:rsidRPr="005A55D8">
        <w:rPr>
          <w:sz w:val="16"/>
          <w:szCs w:val="16"/>
          <w:lang w:val="it-IT"/>
        </w:rPr>
        <w:t>a Commissione non può essere ritenuta responsabile per l'uso che può essere fatto delle informazioni in essa contenute. Numero del progetto: 2020-1-DE02-KA204-007679.</w:t>
      </w:r>
    </w:p>
    <w:p w14:paraId="5F3273F2" w14:textId="77777777" w:rsidR="00D3767C" w:rsidRPr="005A55D8" w:rsidRDefault="00775C71">
      <w:pPr>
        <w:spacing w:line="259" w:lineRule="auto"/>
        <w:rPr>
          <w:b/>
          <w:sz w:val="24"/>
          <w:szCs w:val="24"/>
          <w:lang w:val="it-IT"/>
        </w:rPr>
      </w:pPr>
      <w:r w:rsidRPr="005A55D8">
        <w:rPr>
          <w:sz w:val="24"/>
          <w:szCs w:val="24"/>
          <w:lang w:val="it-IT"/>
        </w:rPr>
        <w:lastRenderedPageBreak/>
        <w:t>Questo manuale per il modulo 2 fa parte del programma MIG-DHL</w:t>
      </w:r>
      <w:r w:rsidR="005A55D8">
        <w:rPr>
          <w:sz w:val="24"/>
          <w:szCs w:val="24"/>
          <w:lang w:val="it-IT"/>
        </w:rPr>
        <w:t>,</w:t>
      </w:r>
      <w:r w:rsidRPr="005A55D8">
        <w:rPr>
          <w:sz w:val="24"/>
          <w:szCs w:val="24"/>
          <w:lang w:val="it-IT"/>
        </w:rPr>
        <w:t xml:space="preserve"> che contiene 6 moduli di apprendimento in totale, sviluppati nell'ambito del partenariato strategico Erasmus+ </w:t>
      </w:r>
      <w:r w:rsidRPr="005A55D8">
        <w:rPr>
          <w:b/>
          <w:sz w:val="24"/>
          <w:szCs w:val="24"/>
          <w:lang w:val="it-IT"/>
        </w:rPr>
        <w:t xml:space="preserve">MIG-DHL- Migrants Digital Health Literacy. </w:t>
      </w:r>
    </w:p>
    <w:p w14:paraId="2D96E4E8" w14:textId="77777777" w:rsidR="00D3767C" w:rsidRPr="005A55D8" w:rsidRDefault="00775C71">
      <w:pPr>
        <w:keepNext/>
        <w:keepLines/>
        <w:pBdr>
          <w:bottom w:val="single" w:sz="4" w:space="1" w:color="C00000"/>
        </w:pBdr>
        <w:spacing w:before="280" w:after="480" w:line="259" w:lineRule="auto"/>
        <w:ind w:left="432"/>
        <w:rPr>
          <w:color w:val="2F5496"/>
          <w:sz w:val="32"/>
          <w:szCs w:val="32"/>
          <w:lang w:val="it-IT"/>
        </w:rPr>
      </w:pPr>
      <w:r w:rsidRPr="005A55D8">
        <w:rPr>
          <w:color w:val="2F5496"/>
          <w:sz w:val="32"/>
          <w:szCs w:val="32"/>
          <w:lang w:val="it-IT"/>
        </w:rPr>
        <w:t>I contenuti della formazione in sintesi:</w:t>
      </w:r>
    </w:p>
    <w:tbl>
      <w:tblPr>
        <w:tblStyle w:val="af"/>
        <w:tblW w:w="8647"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8647"/>
      </w:tblGrid>
      <w:tr w:rsidR="00D3767C" w:rsidRPr="005A55D8" w14:paraId="55BC7930" w14:textId="77777777">
        <w:trPr>
          <w:trHeight w:val="609"/>
          <w:jc w:val="center"/>
        </w:trPr>
        <w:tc>
          <w:tcPr>
            <w:tcW w:w="8647" w:type="dxa"/>
            <w:tcBorders>
              <w:bottom w:val="single" w:sz="18" w:space="0" w:color="FFFFFF"/>
            </w:tcBorders>
            <w:shd w:val="clear" w:color="auto" w:fill="auto"/>
            <w:tcMar>
              <w:top w:w="57" w:type="dxa"/>
              <w:bottom w:w="57" w:type="dxa"/>
            </w:tcMar>
            <w:vAlign w:val="center"/>
          </w:tcPr>
          <w:p w14:paraId="10D85188" w14:textId="77777777" w:rsidR="00D3767C" w:rsidRPr="005A55D8" w:rsidRDefault="00775C71">
            <w:pPr>
              <w:rPr>
                <w:b/>
                <w:color w:val="1A1364"/>
                <w:sz w:val="24"/>
                <w:szCs w:val="24"/>
                <w:lang w:val="it-IT"/>
              </w:rPr>
            </w:pPr>
            <w:r w:rsidRPr="005A55D8">
              <w:rPr>
                <w:b/>
                <w:color w:val="1A1364"/>
                <w:sz w:val="24"/>
                <w:szCs w:val="24"/>
                <w:lang w:val="it-IT"/>
              </w:rPr>
              <w:t>Programma MIG-DHL</w:t>
            </w:r>
          </w:p>
        </w:tc>
      </w:tr>
      <w:tr w:rsidR="00D3767C" w:rsidRPr="005A55D8" w14:paraId="2C706601" w14:textId="77777777">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3A821BC7" w14:textId="77777777" w:rsidR="00D3767C" w:rsidRPr="005A55D8" w:rsidRDefault="00775C71">
            <w:pPr>
              <w:spacing w:line="312" w:lineRule="auto"/>
              <w:rPr>
                <w:rFonts w:ascii="Arial" w:eastAsia="Arial" w:hAnsi="Arial" w:cs="Arial"/>
                <w:color w:val="FFFFFF"/>
                <w:lang w:val="it-IT"/>
              </w:rPr>
            </w:pPr>
            <w:r w:rsidRPr="005A55D8">
              <w:rPr>
                <w:rFonts w:ascii="Arial" w:eastAsia="Arial" w:hAnsi="Arial" w:cs="Arial"/>
                <w:color w:val="FFFFFF"/>
                <w:lang w:val="it-IT"/>
              </w:rPr>
              <w:t>Modulo 1: Cos'è l</w:t>
            </w:r>
            <w:r w:rsidR="00736EFE" w:rsidRPr="005A55D8">
              <w:rPr>
                <w:rFonts w:ascii="Arial" w:eastAsia="Arial" w:hAnsi="Arial" w:cs="Arial"/>
                <w:color w:val="FFFFFF"/>
                <w:lang w:val="it-IT"/>
              </w:rPr>
              <w:t xml:space="preserve">a </w:t>
            </w:r>
            <w:r w:rsidR="00736EFE" w:rsidRPr="005A55D8">
              <w:rPr>
                <w:rFonts w:ascii="Arial" w:eastAsia="Arial" w:hAnsi="Arial" w:cs="Arial"/>
                <w:i/>
                <w:color w:val="FFFFFF"/>
                <w:lang w:val="it-IT"/>
              </w:rPr>
              <w:t>Digital Health Literacy</w:t>
            </w:r>
            <w:r w:rsidR="00736EFE" w:rsidRPr="005A55D8">
              <w:rPr>
                <w:rFonts w:ascii="Arial" w:eastAsia="Arial" w:hAnsi="Arial" w:cs="Arial"/>
                <w:color w:val="FFFFFF"/>
                <w:lang w:val="it-IT"/>
              </w:rPr>
              <w:t xml:space="preserve"> (</w:t>
            </w:r>
            <w:r w:rsidRPr="005A55D8">
              <w:rPr>
                <w:rFonts w:ascii="Arial" w:eastAsia="Arial" w:hAnsi="Arial" w:cs="Arial"/>
                <w:color w:val="FFFFFF"/>
                <w:lang w:val="it-IT"/>
              </w:rPr>
              <w:t>alfabetizzazione sanitaria digitale</w:t>
            </w:r>
            <w:r w:rsidR="00736EFE" w:rsidRPr="005A55D8">
              <w:rPr>
                <w:rFonts w:ascii="Arial" w:eastAsia="Arial" w:hAnsi="Arial" w:cs="Arial"/>
                <w:color w:val="FFFFFF"/>
                <w:lang w:val="it-IT"/>
              </w:rPr>
              <w:t>)?</w:t>
            </w:r>
          </w:p>
        </w:tc>
      </w:tr>
      <w:tr w:rsidR="00D3767C" w:rsidRPr="005A55D8" w14:paraId="53DAAF67" w14:textId="77777777">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C00000"/>
            <w:tcMar>
              <w:top w:w="57" w:type="dxa"/>
              <w:bottom w:w="57" w:type="dxa"/>
            </w:tcMar>
            <w:vAlign w:val="center"/>
          </w:tcPr>
          <w:p w14:paraId="6F05FD7E" w14:textId="77777777" w:rsidR="00D3767C" w:rsidRPr="005A55D8" w:rsidRDefault="00775C71">
            <w:pPr>
              <w:spacing w:line="312" w:lineRule="auto"/>
              <w:rPr>
                <w:rFonts w:ascii="Arial" w:eastAsia="Arial" w:hAnsi="Arial" w:cs="Arial"/>
                <w:b/>
                <w:color w:val="222222"/>
                <w:lang w:val="it-IT"/>
              </w:rPr>
            </w:pPr>
            <w:r w:rsidRPr="005A55D8">
              <w:rPr>
                <w:rFonts w:ascii="Arial" w:eastAsia="Arial" w:hAnsi="Arial" w:cs="Arial"/>
                <w:b/>
                <w:color w:val="222222"/>
                <w:lang w:val="it-IT"/>
              </w:rPr>
              <w:t xml:space="preserve">Modulo 2: Principali problemi di salute quando si </w:t>
            </w:r>
            <w:r w:rsidR="00736EFE" w:rsidRPr="005A55D8">
              <w:rPr>
                <w:rFonts w:ascii="Arial" w:eastAsia="Arial" w:hAnsi="Arial" w:cs="Arial"/>
                <w:b/>
                <w:color w:val="222222"/>
                <w:lang w:val="it-IT"/>
              </w:rPr>
              <w:t>arriva in un nuovo</w:t>
            </w:r>
            <w:r w:rsidRPr="005A55D8">
              <w:rPr>
                <w:rFonts w:ascii="Arial" w:eastAsia="Arial" w:hAnsi="Arial" w:cs="Arial"/>
                <w:b/>
                <w:color w:val="222222"/>
                <w:lang w:val="it-IT"/>
              </w:rPr>
              <w:t xml:space="preserve"> paese</w:t>
            </w:r>
          </w:p>
        </w:tc>
      </w:tr>
      <w:tr w:rsidR="00D3767C" w:rsidRPr="005A55D8" w14:paraId="01C92546" w14:textId="77777777">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0787DA2A" w14:textId="77777777" w:rsidR="00D3767C" w:rsidRPr="005A55D8" w:rsidRDefault="00775C71">
            <w:pPr>
              <w:spacing w:line="312" w:lineRule="auto"/>
              <w:rPr>
                <w:rFonts w:ascii="Arial" w:eastAsia="Arial" w:hAnsi="Arial" w:cs="Arial"/>
                <w:b/>
                <w:color w:val="FFFFFF"/>
                <w:lang w:val="it-IT"/>
              </w:rPr>
            </w:pPr>
            <w:r w:rsidRPr="005A55D8">
              <w:rPr>
                <w:rFonts w:ascii="Arial" w:eastAsia="Arial" w:hAnsi="Arial" w:cs="Arial"/>
                <w:b/>
                <w:color w:val="FFFFFF"/>
                <w:lang w:val="it-IT"/>
              </w:rPr>
              <w:t xml:space="preserve">Modulo 3: </w:t>
            </w:r>
            <w:r w:rsidR="00736EFE" w:rsidRPr="005A55D8">
              <w:rPr>
                <w:rFonts w:ascii="Arial" w:eastAsia="Arial" w:hAnsi="Arial" w:cs="Arial"/>
                <w:b/>
                <w:color w:val="FFFFFF"/>
                <w:lang w:val="it-IT"/>
              </w:rPr>
              <w:t>I s</w:t>
            </w:r>
            <w:r w:rsidRPr="005A55D8">
              <w:rPr>
                <w:rFonts w:ascii="Arial" w:eastAsia="Arial" w:hAnsi="Arial" w:cs="Arial"/>
                <w:b/>
                <w:color w:val="FFFFFF"/>
                <w:lang w:val="it-IT"/>
              </w:rPr>
              <w:t>ervizi sanitari</w:t>
            </w:r>
          </w:p>
        </w:tc>
      </w:tr>
      <w:tr w:rsidR="00D3767C" w:rsidRPr="005A55D8" w14:paraId="65F55336" w14:textId="77777777">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1CA7A1C2" w14:textId="77777777" w:rsidR="00D3767C" w:rsidRPr="005A55D8" w:rsidRDefault="00775C71">
            <w:pPr>
              <w:spacing w:line="312" w:lineRule="auto"/>
              <w:rPr>
                <w:rFonts w:ascii="Arial" w:eastAsia="Arial" w:hAnsi="Arial" w:cs="Arial"/>
                <w:b/>
                <w:color w:val="FFFFFF"/>
                <w:lang w:val="it-IT"/>
              </w:rPr>
            </w:pPr>
            <w:r w:rsidRPr="005A55D8">
              <w:rPr>
                <w:rFonts w:ascii="Arial" w:eastAsia="Arial" w:hAnsi="Arial" w:cs="Arial"/>
                <w:b/>
                <w:color w:val="FFFFFF"/>
                <w:lang w:val="it-IT"/>
              </w:rPr>
              <w:t>Modulo 4: Diventare digital</w:t>
            </w:r>
            <w:r w:rsidR="00736EFE" w:rsidRPr="005A55D8">
              <w:rPr>
                <w:rFonts w:ascii="Arial" w:eastAsia="Arial" w:hAnsi="Arial" w:cs="Arial"/>
                <w:b/>
                <w:color w:val="FFFFFF"/>
                <w:lang w:val="it-IT"/>
              </w:rPr>
              <w:t>mente alfabetizzati</w:t>
            </w:r>
          </w:p>
        </w:tc>
      </w:tr>
      <w:tr w:rsidR="00D3767C" w:rsidRPr="005A55D8" w14:paraId="2B027D06" w14:textId="77777777">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0F863741" w14:textId="77777777" w:rsidR="00D3767C" w:rsidRPr="005A55D8" w:rsidRDefault="00775C71">
            <w:pPr>
              <w:spacing w:line="312" w:lineRule="auto"/>
              <w:rPr>
                <w:rFonts w:ascii="Arial" w:eastAsia="Arial" w:hAnsi="Arial" w:cs="Arial"/>
                <w:b/>
                <w:color w:val="FFFFFF"/>
                <w:lang w:val="it-IT"/>
              </w:rPr>
            </w:pPr>
            <w:r w:rsidRPr="005A55D8">
              <w:rPr>
                <w:rFonts w:ascii="Arial" w:eastAsia="Arial" w:hAnsi="Arial" w:cs="Arial"/>
                <w:b/>
                <w:color w:val="FFFFFF"/>
                <w:lang w:val="it-IT"/>
              </w:rPr>
              <w:t>Modulo 5: Esplorazione degli strumenti per la salute digitale</w:t>
            </w:r>
          </w:p>
        </w:tc>
      </w:tr>
      <w:tr w:rsidR="00D3767C" w:rsidRPr="005A55D8" w14:paraId="56DAE139" w14:textId="77777777">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198322CD" w14:textId="77777777" w:rsidR="00D3767C" w:rsidRPr="005A55D8" w:rsidRDefault="00775C71">
            <w:pPr>
              <w:spacing w:line="312" w:lineRule="auto"/>
              <w:rPr>
                <w:rFonts w:ascii="Arial" w:eastAsia="Arial" w:hAnsi="Arial" w:cs="Arial"/>
                <w:b/>
                <w:color w:val="FFFFFF"/>
                <w:lang w:val="it-IT"/>
              </w:rPr>
            </w:pPr>
            <w:r w:rsidRPr="005A55D8">
              <w:rPr>
                <w:rFonts w:ascii="Arial" w:eastAsia="Arial" w:hAnsi="Arial" w:cs="Arial"/>
                <w:b/>
                <w:color w:val="FFFFFF"/>
                <w:lang w:val="it-IT"/>
              </w:rPr>
              <w:t xml:space="preserve">Modulo 6: Essere attivi nell'ambiente della </w:t>
            </w:r>
            <w:r w:rsidR="00736EFE" w:rsidRPr="005A55D8">
              <w:rPr>
                <w:rFonts w:ascii="Arial" w:eastAsia="Arial" w:hAnsi="Arial" w:cs="Arial"/>
                <w:b/>
                <w:color w:val="FFFFFF"/>
                <w:lang w:val="it-IT"/>
              </w:rPr>
              <w:t>salute</w:t>
            </w:r>
            <w:r w:rsidRPr="005A55D8">
              <w:rPr>
                <w:rFonts w:ascii="Arial" w:eastAsia="Arial" w:hAnsi="Arial" w:cs="Arial"/>
                <w:b/>
                <w:color w:val="FFFFFF"/>
                <w:lang w:val="it-IT"/>
              </w:rPr>
              <w:t xml:space="preserve"> digitale</w:t>
            </w:r>
          </w:p>
        </w:tc>
      </w:tr>
    </w:tbl>
    <w:p w14:paraId="25FF1DE0" w14:textId="77777777" w:rsidR="00D3767C" w:rsidRPr="005A55D8" w:rsidRDefault="00775C71">
      <w:pPr>
        <w:rPr>
          <w:sz w:val="24"/>
          <w:szCs w:val="24"/>
          <w:lang w:val="it-IT"/>
        </w:rPr>
      </w:pPr>
      <w:r w:rsidRPr="005A55D8">
        <w:rPr>
          <w:sz w:val="24"/>
          <w:szCs w:val="24"/>
          <w:lang w:val="it-IT"/>
        </w:rPr>
        <w:t xml:space="preserve">Per ulteriori informazioni, consultare la homepage: </w:t>
      </w:r>
      <w:hyperlink r:id="rId19">
        <w:r w:rsidRPr="005A55D8">
          <w:rPr>
            <w:color w:val="0563C1"/>
            <w:sz w:val="24"/>
            <w:szCs w:val="24"/>
            <w:u w:val="single"/>
            <w:lang w:val="it-IT"/>
          </w:rPr>
          <w:t>https:</w:t>
        </w:r>
      </w:hyperlink>
      <w:r w:rsidRPr="005A55D8">
        <w:rPr>
          <w:sz w:val="24"/>
          <w:szCs w:val="24"/>
          <w:lang w:val="it-IT"/>
        </w:rPr>
        <w:t xml:space="preserve">//mig-dhl.eu/ </w:t>
      </w:r>
    </w:p>
    <w:p w14:paraId="4729EFDE" w14:textId="77777777" w:rsidR="00D3767C" w:rsidRPr="005A55D8" w:rsidRDefault="00775C71">
      <w:pPr>
        <w:rPr>
          <w:sz w:val="24"/>
          <w:szCs w:val="24"/>
          <w:lang w:val="it-IT"/>
        </w:rPr>
      </w:pPr>
      <w:r w:rsidRPr="005A55D8">
        <w:rPr>
          <w:lang w:val="it-IT"/>
        </w:rPr>
        <w:br w:type="page"/>
      </w:r>
    </w:p>
    <w:p w14:paraId="2EE3FB28" w14:textId="77777777" w:rsidR="00D3767C" w:rsidRPr="005A55D8" w:rsidRDefault="00775C71">
      <w:pPr>
        <w:jc w:val="center"/>
        <w:rPr>
          <w:b/>
          <w:color w:val="002060"/>
          <w:sz w:val="24"/>
          <w:szCs w:val="24"/>
          <w:lang w:val="it-IT"/>
        </w:rPr>
      </w:pPr>
      <w:r w:rsidRPr="005A55D8">
        <w:rPr>
          <w:b/>
          <w:color w:val="002060"/>
          <w:sz w:val="24"/>
          <w:szCs w:val="24"/>
          <w:lang w:val="it-IT"/>
        </w:rPr>
        <w:lastRenderedPageBreak/>
        <w:t>Dichiarazione sul copyright:</w:t>
      </w:r>
    </w:p>
    <w:p w14:paraId="7B26E965" w14:textId="77777777" w:rsidR="00D3767C" w:rsidRPr="005A55D8" w:rsidRDefault="00775C71">
      <w:pPr>
        <w:jc w:val="center"/>
        <w:rPr>
          <w:b/>
          <w:color w:val="002060"/>
          <w:sz w:val="24"/>
          <w:szCs w:val="24"/>
          <w:lang w:val="it-IT"/>
        </w:rPr>
      </w:pPr>
      <w:r w:rsidRPr="005A55D8">
        <w:rPr>
          <w:b/>
          <w:noProof/>
          <w:color w:val="002060"/>
          <w:sz w:val="24"/>
          <w:szCs w:val="24"/>
          <w:lang w:val="it-IT"/>
        </w:rPr>
        <w:drawing>
          <wp:inline distT="0" distB="0" distL="0" distR="0" wp14:anchorId="13238398" wp14:editId="547C167D">
            <wp:extent cx="1406013" cy="492105"/>
            <wp:effectExtent l="0" t="0" r="0" b="0"/>
            <wp:docPr id="17" name="image3.png"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image3.png" descr="Εικόνα που περιέχει κείμενο, clipart&#10;&#10;Περιγραφή που δημιουργήθηκε αυτόματα"/>
                    <pic:cNvPicPr preferRelativeResize="0"/>
                  </pic:nvPicPr>
                  <pic:blipFill>
                    <a:blip r:embed="rId20"/>
                    <a:srcRect/>
                    <a:stretch>
                      <a:fillRect/>
                    </a:stretch>
                  </pic:blipFill>
                  <pic:spPr>
                    <a:xfrm>
                      <a:off x="0" y="0"/>
                      <a:ext cx="1406013" cy="492105"/>
                    </a:xfrm>
                    <a:prstGeom prst="rect">
                      <a:avLst/>
                    </a:prstGeom>
                    <a:ln/>
                  </pic:spPr>
                </pic:pic>
              </a:graphicData>
            </a:graphic>
          </wp:inline>
        </w:drawing>
      </w:r>
    </w:p>
    <w:p w14:paraId="1ED4CCEB" w14:textId="77777777" w:rsidR="00736EFE" w:rsidRPr="005A55D8" w:rsidRDefault="00775C71" w:rsidP="00736EFE">
      <w:pPr>
        <w:jc w:val="center"/>
        <w:rPr>
          <w:lang w:val="it-IT" w:eastAsia="en-GB"/>
        </w:rPr>
      </w:pPr>
      <w:r w:rsidRPr="005A55D8">
        <w:rPr>
          <w:sz w:val="24"/>
          <w:szCs w:val="24"/>
          <w:lang w:val="it-IT"/>
        </w:rPr>
        <w:br/>
      </w:r>
      <w:r w:rsidR="00736EFE" w:rsidRPr="005A55D8">
        <w:rPr>
          <w:lang w:val="it-IT" w:eastAsia="en-GB"/>
        </w:rPr>
        <w:t xml:space="preserve">Quest'opera è rilasciata con </w:t>
      </w:r>
      <w:r w:rsidR="00736EFE" w:rsidRPr="005A55D8">
        <w:rPr>
          <w:i/>
          <w:lang w:val="it-IT" w:eastAsia="en-GB"/>
        </w:rPr>
        <w:t>Creative Commons Attribution-NonCommercial-ShareAlike 4.0 International License</w:t>
      </w:r>
      <w:r w:rsidR="00736EFE" w:rsidRPr="005A55D8">
        <w:rPr>
          <w:lang w:val="it-IT" w:eastAsia="en-GB"/>
        </w:rPr>
        <w:t>. Siete liberi di:</w:t>
      </w:r>
    </w:p>
    <w:p w14:paraId="64C60559" w14:textId="77777777" w:rsidR="00736EFE" w:rsidRPr="005A55D8" w:rsidRDefault="00736EFE" w:rsidP="00736EFE">
      <w:pPr>
        <w:pStyle w:val="a6"/>
        <w:numPr>
          <w:ilvl w:val="0"/>
          <w:numId w:val="3"/>
        </w:numPr>
        <w:spacing w:before="100" w:beforeAutospacing="1" w:after="200" w:line="312" w:lineRule="auto"/>
        <w:rPr>
          <w:lang w:val="it-IT"/>
        </w:rPr>
      </w:pPr>
      <w:r w:rsidRPr="005A55D8">
        <w:rPr>
          <w:lang w:val="it-IT"/>
        </w:rPr>
        <w:t>Condividere, copiare e ridistribuire il materiale su qualsiasi supporto o formato</w:t>
      </w:r>
    </w:p>
    <w:p w14:paraId="1BC80718" w14:textId="77777777" w:rsidR="00736EFE" w:rsidRPr="005A55D8" w:rsidRDefault="00736EFE" w:rsidP="00736EFE">
      <w:pPr>
        <w:pStyle w:val="a6"/>
        <w:numPr>
          <w:ilvl w:val="0"/>
          <w:numId w:val="3"/>
        </w:numPr>
        <w:spacing w:before="100" w:beforeAutospacing="1" w:after="200" w:line="312" w:lineRule="auto"/>
        <w:rPr>
          <w:lang w:val="it-IT"/>
        </w:rPr>
      </w:pPr>
      <w:r w:rsidRPr="005A55D8">
        <w:rPr>
          <w:lang w:val="it-IT"/>
        </w:rPr>
        <w:t xml:space="preserve">Adattare, trasformare e implementare il materiale </w:t>
      </w:r>
    </w:p>
    <w:p w14:paraId="63C4DC70" w14:textId="77777777" w:rsidR="00736EFE" w:rsidRPr="005A55D8" w:rsidRDefault="00736EFE" w:rsidP="00736EFE">
      <w:pPr>
        <w:rPr>
          <w:color w:val="262626" w:themeColor="text1" w:themeTint="D9"/>
          <w:lang w:val="it-IT"/>
        </w:rPr>
      </w:pPr>
      <w:r w:rsidRPr="005A55D8">
        <w:rPr>
          <w:color w:val="262626" w:themeColor="text1" w:themeTint="D9"/>
          <w:lang w:val="it-IT"/>
        </w:rPr>
        <w:t>alle seguenti condizioni:</w:t>
      </w:r>
    </w:p>
    <w:p w14:paraId="1249A1C9" w14:textId="77777777" w:rsidR="00736EFE" w:rsidRPr="005A55D8" w:rsidRDefault="00736EFE" w:rsidP="00736EFE">
      <w:pPr>
        <w:pStyle w:val="a6"/>
        <w:numPr>
          <w:ilvl w:val="0"/>
          <w:numId w:val="3"/>
        </w:numPr>
        <w:spacing w:before="100" w:beforeAutospacing="1" w:after="200" w:line="312" w:lineRule="auto"/>
        <w:rPr>
          <w:lang w:val="it-IT"/>
        </w:rPr>
      </w:pPr>
      <w:r w:rsidRPr="005A55D8">
        <w:rPr>
          <w:rFonts w:eastAsia="MyriadPro-Regular"/>
          <w:u w:val="single"/>
          <w:lang w:val="it-IT" w:eastAsia="en-US"/>
        </w:rPr>
        <w:t>Attribuzione</w:t>
      </w:r>
      <w:r w:rsidRPr="005A55D8">
        <w:rPr>
          <w:rFonts w:eastAsia="MyriadPro-Regular"/>
          <w:lang w:val="it-IT" w:eastAsia="en-US"/>
        </w:rPr>
        <w:t xml:space="preserve"> - È necessario dare il giusto credito, fornire un link alla licenza e indicare se sono state apportate modifiche. Potete farlo in qualsiasi modo ragionevole, ma non in modo da suggerire che il licenziante approvi voi o il vostro uso.</w:t>
      </w:r>
    </w:p>
    <w:p w14:paraId="2DD0617B" w14:textId="77777777" w:rsidR="00736EFE" w:rsidRPr="005A55D8" w:rsidRDefault="00736EFE" w:rsidP="00736EFE">
      <w:pPr>
        <w:pStyle w:val="a6"/>
        <w:numPr>
          <w:ilvl w:val="0"/>
          <w:numId w:val="3"/>
        </w:numPr>
        <w:spacing w:before="100" w:beforeAutospacing="1" w:after="200" w:line="312" w:lineRule="auto"/>
        <w:rPr>
          <w:lang w:val="it-IT"/>
        </w:rPr>
      </w:pPr>
      <w:r w:rsidRPr="005A55D8">
        <w:rPr>
          <w:u w:val="single"/>
          <w:lang w:val="it-IT"/>
        </w:rPr>
        <w:t>Non commerciale</w:t>
      </w:r>
      <w:r w:rsidRPr="005A55D8">
        <w:rPr>
          <w:lang w:val="it-IT"/>
        </w:rPr>
        <w:t xml:space="preserve"> - Non è consentito utilizzare il materiale per scopi commerciali.</w:t>
      </w:r>
    </w:p>
    <w:p w14:paraId="2E386DC6" w14:textId="77777777" w:rsidR="00736EFE" w:rsidRPr="005A55D8" w:rsidRDefault="00736EFE" w:rsidP="00736EFE">
      <w:pPr>
        <w:pStyle w:val="a6"/>
        <w:numPr>
          <w:ilvl w:val="0"/>
          <w:numId w:val="3"/>
        </w:numPr>
        <w:spacing w:before="100" w:beforeAutospacing="1" w:after="200" w:line="312" w:lineRule="auto"/>
        <w:rPr>
          <w:lang w:val="it-IT"/>
        </w:rPr>
      </w:pPr>
      <w:r w:rsidRPr="005A55D8">
        <w:rPr>
          <w:u w:val="single"/>
          <w:lang w:val="it-IT"/>
        </w:rPr>
        <w:t>ShareAlike</w:t>
      </w:r>
      <w:r w:rsidRPr="005A55D8">
        <w:rPr>
          <w:lang w:val="it-IT"/>
        </w:rPr>
        <w:t xml:space="preserve"> – Se adattate, trasformate o implementate il materiale, dovete distribuire i vostri contributi con la stessa licenza dell'originale.</w:t>
      </w:r>
    </w:p>
    <w:p w14:paraId="45D80059" w14:textId="77777777" w:rsidR="00D3767C" w:rsidRPr="005A55D8" w:rsidRDefault="00D3767C" w:rsidP="00736EFE">
      <w:pPr>
        <w:jc w:val="center"/>
        <w:rPr>
          <w:color w:val="000000"/>
          <w:sz w:val="24"/>
          <w:szCs w:val="24"/>
          <w:lang w:val="it-IT"/>
        </w:rPr>
      </w:pPr>
    </w:p>
    <w:p w14:paraId="0A9231C0" w14:textId="77777777" w:rsidR="00D3767C" w:rsidRPr="005A55D8" w:rsidRDefault="00D3767C">
      <w:pPr>
        <w:rPr>
          <w:sz w:val="24"/>
          <w:szCs w:val="24"/>
          <w:lang w:val="it-IT"/>
        </w:rPr>
      </w:pPr>
    </w:p>
    <w:p w14:paraId="258B36F1" w14:textId="77777777" w:rsidR="00D3767C" w:rsidRPr="005A55D8" w:rsidRDefault="00D3767C">
      <w:pPr>
        <w:spacing w:line="240" w:lineRule="auto"/>
        <w:rPr>
          <w:sz w:val="24"/>
          <w:szCs w:val="24"/>
          <w:lang w:val="it-IT"/>
        </w:rPr>
      </w:pPr>
    </w:p>
    <w:p w14:paraId="68C78B1F" w14:textId="77777777" w:rsidR="00D3767C" w:rsidRPr="005A55D8" w:rsidRDefault="00D3767C">
      <w:pPr>
        <w:jc w:val="center"/>
        <w:rPr>
          <w:sz w:val="24"/>
          <w:szCs w:val="24"/>
          <w:lang w:val="it-IT"/>
        </w:rPr>
      </w:pPr>
    </w:p>
    <w:p w14:paraId="4A3120B8" w14:textId="77777777" w:rsidR="00D3767C" w:rsidRPr="005A55D8" w:rsidRDefault="00D3767C">
      <w:pPr>
        <w:jc w:val="center"/>
        <w:rPr>
          <w:i/>
          <w:sz w:val="24"/>
          <w:szCs w:val="24"/>
          <w:lang w:val="it-IT"/>
        </w:rPr>
      </w:pPr>
    </w:p>
    <w:p w14:paraId="59C1015E" w14:textId="77777777" w:rsidR="00D3767C" w:rsidRPr="005A55D8" w:rsidRDefault="00D3767C">
      <w:pPr>
        <w:rPr>
          <w:sz w:val="24"/>
          <w:szCs w:val="24"/>
          <w:lang w:val="it-IT"/>
        </w:rPr>
      </w:pPr>
    </w:p>
    <w:p w14:paraId="5C5E5AC6" w14:textId="77777777" w:rsidR="00D3767C" w:rsidRPr="005A55D8" w:rsidRDefault="00D3767C">
      <w:pPr>
        <w:rPr>
          <w:sz w:val="24"/>
          <w:szCs w:val="24"/>
          <w:lang w:val="it-IT"/>
        </w:rPr>
      </w:pPr>
    </w:p>
    <w:p w14:paraId="2ACD3FCA" w14:textId="77777777" w:rsidR="00D3767C" w:rsidRPr="005A55D8" w:rsidRDefault="00D3767C">
      <w:pPr>
        <w:rPr>
          <w:sz w:val="24"/>
          <w:szCs w:val="24"/>
          <w:lang w:val="it-IT"/>
        </w:rPr>
      </w:pPr>
    </w:p>
    <w:p w14:paraId="1F14E467" w14:textId="77777777" w:rsidR="00736EFE" w:rsidRPr="005A55D8" w:rsidRDefault="00736EFE">
      <w:pPr>
        <w:keepNext/>
        <w:keepLines/>
        <w:pBdr>
          <w:top w:val="nil"/>
          <w:left w:val="nil"/>
          <w:bottom w:val="nil"/>
          <w:right w:val="nil"/>
          <w:between w:val="nil"/>
        </w:pBdr>
        <w:spacing w:before="240" w:after="0" w:line="259" w:lineRule="auto"/>
        <w:jc w:val="left"/>
        <w:rPr>
          <w:b/>
          <w:color w:val="000000"/>
          <w:sz w:val="24"/>
          <w:szCs w:val="24"/>
          <w:lang w:val="it-IT"/>
        </w:rPr>
      </w:pPr>
    </w:p>
    <w:p w14:paraId="7F8B09D9" w14:textId="77777777" w:rsidR="00736EFE" w:rsidRPr="005A55D8" w:rsidRDefault="00736EFE">
      <w:pPr>
        <w:keepNext/>
        <w:keepLines/>
        <w:pBdr>
          <w:top w:val="nil"/>
          <w:left w:val="nil"/>
          <w:bottom w:val="nil"/>
          <w:right w:val="nil"/>
          <w:between w:val="nil"/>
        </w:pBdr>
        <w:spacing w:before="240" w:after="0" w:line="259" w:lineRule="auto"/>
        <w:jc w:val="left"/>
        <w:rPr>
          <w:b/>
          <w:color w:val="000000"/>
          <w:sz w:val="24"/>
          <w:szCs w:val="24"/>
          <w:lang w:val="it-IT"/>
        </w:rPr>
      </w:pPr>
    </w:p>
    <w:p w14:paraId="1405C026" w14:textId="77777777" w:rsidR="00D3767C" w:rsidRPr="005A55D8" w:rsidRDefault="00775C71">
      <w:pPr>
        <w:keepNext/>
        <w:keepLines/>
        <w:pBdr>
          <w:top w:val="nil"/>
          <w:left w:val="nil"/>
          <w:bottom w:val="nil"/>
          <w:right w:val="nil"/>
          <w:between w:val="nil"/>
        </w:pBdr>
        <w:spacing w:before="240" w:after="0" w:line="259" w:lineRule="auto"/>
        <w:jc w:val="left"/>
        <w:rPr>
          <w:b/>
          <w:color w:val="000000"/>
          <w:sz w:val="28"/>
          <w:szCs w:val="28"/>
          <w:lang w:val="it-IT"/>
        </w:rPr>
      </w:pPr>
      <w:r w:rsidRPr="005A55D8">
        <w:rPr>
          <w:b/>
          <w:color w:val="000000"/>
          <w:sz w:val="28"/>
          <w:szCs w:val="28"/>
          <w:lang w:val="it-IT"/>
        </w:rPr>
        <w:t>Contenuto</w:t>
      </w:r>
    </w:p>
    <w:p w14:paraId="3BA91E17" w14:textId="77777777" w:rsidR="00736EFE" w:rsidRPr="005A55D8" w:rsidRDefault="00736EFE">
      <w:pPr>
        <w:keepNext/>
        <w:keepLines/>
        <w:pBdr>
          <w:top w:val="nil"/>
          <w:left w:val="nil"/>
          <w:bottom w:val="nil"/>
          <w:right w:val="nil"/>
          <w:between w:val="nil"/>
        </w:pBdr>
        <w:spacing w:before="240" w:after="0" w:line="259" w:lineRule="auto"/>
        <w:jc w:val="left"/>
        <w:rPr>
          <w:b/>
          <w:color w:val="000000"/>
          <w:sz w:val="24"/>
          <w:szCs w:val="24"/>
          <w:lang w:val="it-IT"/>
        </w:rPr>
      </w:pPr>
    </w:p>
    <w:p w14:paraId="61F4193E" w14:textId="77777777" w:rsidR="00736EFE" w:rsidRPr="005A55D8" w:rsidRDefault="00736EFE">
      <w:pPr>
        <w:keepNext/>
        <w:keepLines/>
        <w:pBdr>
          <w:top w:val="nil"/>
          <w:left w:val="nil"/>
          <w:bottom w:val="nil"/>
          <w:right w:val="nil"/>
          <w:between w:val="nil"/>
        </w:pBdr>
        <w:spacing w:before="240" w:after="0" w:line="259" w:lineRule="auto"/>
        <w:jc w:val="left"/>
        <w:rPr>
          <w:b/>
          <w:color w:val="000000"/>
          <w:sz w:val="24"/>
          <w:szCs w:val="24"/>
          <w:lang w:val="it-IT"/>
        </w:rPr>
      </w:pPr>
    </w:p>
    <w:sdt>
      <w:sdtPr>
        <w:rPr>
          <w:lang w:val="it-IT"/>
        </w:rPr>
        <w:id w:val="-1667707373"/>
        <w:docPartObj>
          <w:docPartGallery w:val="Table of Contents"/>
          <w:docPartUnique/>
        </w:docPartObj>
      </w:sdtPr>
      <w:sdtContent>
        <w:p w14:paraId="6C7944E6" w14:textId="1AD58B67" w:rsidR="00736EFE" w:rsidRPr="005A55D8" w:rsidRDefault="00775C71">
          <w:pPr>
            <w:pStyle w:val="20"/>
            <w:tabs>
              <w:tab w:val="right" w:pos="9062"/>
            </w:tabs>
            <w:rPr>
              <w:rFonts w:asciiTheme="minorHAnsi" w:eastAsiaTheme="minorEastAsia" w:hAnsiTheme="minorHAnsi" w:cstheme="minorBidi"/>
              <w:lang w:val="it-IT"/>
            </w:rPr>
          </w:pPr>
          <w:r w:rsidRPr="005A55D8">
            <w:rPr>
              <w:lang w:val="it-IT"/>
            </w:rPr>
            <w:fldChar w:fldCharType="begin"/>
          </w:r>
          <w:r w:rsidRPr="005A55D8">
            <w:rPr>
              <w:lang w:val="it-IT"/>
            </w:rPr>
            <w:instrText xml:space="preserve"> TOC \h \u \z </w:instrText>
          </w:r>
          <w:r w:rsidRPr="005A55D8">
            <w:rPr>
              <w:lang w:val="it-IT"/>
            </w:rPr>
            <w:fldChar w:fldCharType="separate"/>
          </w:r>
          <w:hyperlink w:anchor="_Toc109999716" w:history="1">
            <w:r w:rsidR="00736EFE" w:rsidRPr="005A55D8">
              <w:rPr>
                <w:rStyle w:val="-"/>
                <w:lang w:val="it-IT"/>
              </w:rPr>
              <w:t>2.0 Introduzione</w:t>
            </w:r>
            <w:r w:rsidR="00736EFE" w:rsidRPr="005A55D8">
              <w:rPr>
                <w:webHidden/>
                <w:lang w:val="it-IT"/>
              </w:rPr>
              <w:tab/>
            </w:r>
            <w:r w:rsidR="00736EFE" w:rsidRPr="005A55D8">
              <w:rPr>
                <w:webHidden/>
                <w:lang w:val="it-IT"/>
              </w:rPr>
              <w:fldChar w:fldCharType="begin"/>
            </w:r>
            <w:r w:rsidR="00736EFE" w:rsidRPr="005A55D8">
              <w:rPr>
                <w:webHidden/>
                <w:lang w:val="it-IT"/>
              </w:rPr>
              <w:instrText xml:space="preserve"> PAGEREF _Toc109999716 \h </w:instrText>
            </w:r>
            <w:r w:rsidR="00736EFE" w:rsidRPr="005A55D8">
              <w:rPr>
                <w:webHidden/>
                <w:lang w:val="it-IT"/>
              </w:rPr>
            </w:r>
            <w:r w:rsidR="00736EFE" w:rsidRPr="005A55D8">
              <w:rPr>
                <w:webHidden/>
                <w:lang w:val="it-IT"/>
              </w:rPr>
              <w:fldChar w:fldCharType="separate"/>
            </w:r>
            <w:r w:rsidR="0053430C">
              <w:rPr>
                <w:noProof/>
                <w:webHidden/>
                <w:lang w:val="it-IT"/>
              </w:rPr>
              <w:t>4</w:t>
            </w:r>
            <w:r w:rsidR="00736EFE" w:rsidRPr="005A55D8">
              <w:rPr>
                <w:webHidden/>
                <w:lang w:val="it-IT"/>
              </w:rPr>
              <w:fldChar w:fldCharType="end"/>
            </w:r>
          </w:hyperlink>
        </w:p>
        <w:p w14:paraId="0355228B" w14:textId="463C84BD" w:rsidR="00736EFE" w:rsidRPr="005A55D8" w:rsidRDefault="00000000">
          <w:pPr>
            <w:pStyle w:val="20"/>
            <w:tabs>
              <w:tab w:val="right" w:pos="9062"/>
            </w:tabs>
            <w:rPr>
              <w:rFonts w:asciiTheme="minorHAnsi" w:eastAsiaTheme="minorEastAsia" w:hAnsiTheme="minorHAnsi" w:cstheme="minorBidi"/>
              <w:lang w:val="it-IT"/>
            </w:rPr>
          </w:pPr>
          <w:hyperlink w:anchor="_Toc109999717" w:history="1">
            <w:r w:rsidR="00736EFE" w:rsidRPr="005A55D8">
              <w:rPr>
                <w:rStyle w:val="-"/>
                <w:lang w:val="it-IT"/>
              </w:rPr>
              <w:t>2.1 Apertura</w:t>
            </w:r>
            <w:r w:rsidR="00736EFE" w:rsidRPr="005A55D8">
              <w:rPr>
                <w:webHidden/>
                <w:lang w:val="it-IT"/>
              </w:rPr>
              <w:tab/>
            </w:r>
            <w:r w:rsidR="00736EFE" w:rsidRPr="005A55D8">
              <w:rPr>
                <w:webHidden/>
                <w:lang w:val="it-IT"/>
              </w:rPr>
              <w:fldChar w:fldCharType="begin"/>
            </w:r>
            <w:r w:rsidR="00736EFE" w:rsidRPr="005A55D8">
              <w:rPr>
                <w:webHidden/>
                <w:lang w:val="it-IT"/>
              </w:rPr>
              <w:instrText xml:space="preserve"> PAGEREF _Toc109999717 \h </w:instrText>
            </w:r>
            <w:r w:rsidR="00736EFE" w:rsidRPr="005A55D8">
              <w:rPr>
                <w:webHidden/>
                <w:lang w:val="it-IT"/>
              </w:rPr>
            </w:r>
            <w:r w:rsidR="00736EFE" w:rsidRPr="005A55D8">
              <w:rPr>
                <w:webHidden/>
                <w:lang w:val="it-IT"/>
              </w:rPr>
              <w:fldChar w:fldCharType="separate"/>
            </w:r>
            <w:r w:rsidR="0053430C">
              <w:rPr>
                <w:noProof/>
                <w:webHidden/>
                <w:lang w:val="it-IT"/>
              </w:rPr>
              <w:t>5</w:t>
            </w:r>
            <w:r w:rsidR="00736EFE" w:rsidRPr="005A55D8">
              <w:rPr>
                <w:webHidden/>
                <w:lang w:val="it-IT"/>
              </w:rPr>
              <w:fldChar w:fldCharType="end"/>
            </w:r>
          </w:hyperlink>
        </w:p>
        <w:p w14:paraId="741AF30D" w14:textId="67326209" w:rsidR="00736EFE" w:rsidRPr="005A55D8" w:rsidRDefault="00000000">
          <w:pPr>
            <w:pStyle w:val="20"/>
            <w:tabs>
              <w:tab w:val="right" w:pos="9062"/>
            </w:tabs>
            <w:rPr>
              <w:rFonts w:asciiTheme="minorHAnsi" w:eastAsiaTheme="minorEastAsia" w:hAnsiTheme="minorHAnsi" w:cstheme="minorBidi"/>
              <w:lang w:val="it-IT"/>
            </w:rPr>
          </w:pPr>
          <w:hyperlink w:anchor="_Toc109999718" w:history="1">
            <w:r w:rsidR="00736EFE" w:rsidRPr="005A55D8">
              <w:rPr>
                <w:rStyle w:val="-"/>
                <w:lang w:val="it-IT"/>
              </w:rPr>
              <w:t>2.2 Fattori di rischio per la salute in base alle diverse fasi della migrazione</w:t>
            </w:r>
            <w:r w:rsidR="00736EFE" w:rsidRPr="005A55D8">
              <w:rPr>
                <w:webHidden/>
                <w:lang w:val="it-IT"/>
              </w:rPr>
              <w:tab/>
            </w:r>
            <w:r w:rsidR="00736EFE" w:rsidRPr="005A55D8">
              <w:rPr>
                <w:webHidden/>
                <w:lang w:val="it-IT"/>
              </w:rPr>
              <w:fldChar w:fldCharType="begin"/>
            </w:r>
            <w:r w:rsidR="00736EFE" w:rsidRPr="005A55D8">
              <w:rPr>
                <w:webHidden/>
                <w:lang w:val="it-IT"/>
              </w:rPr>
              <w:instrText xml:space="preserve"> PAGEREF _Toc109999718 \h </w:instrText>
            </w:r>
            <w:r w:rsidR="00736EFE" w:rsidRPr="005A55D8">
              <w:rPr>
                <w:webHidden/>
                <w:lang w:val="it-IT"/>
              </w:rPr>
            </w:r>
            <w:r w:rsidR="00736EFE" w:rsidRPr="005A55D8">
              <w:rPr>
                <w:webHidden/>
                <w:lang w:val="it-IT"/>
              </w:rPr>
              <w:fldChar w:fldCharType="separate"/>
            </w:r>
            <w:r w:rsidR="0053430C">
              <w:rPr>
                <w:noProof/>
                <w:webHidden/>
                <w:lang w:val="it-IT"/>
              </w:rPr>
              <w:t>6</w:t>
            </w:r>
            <w:r w:rsidR="00736EFE" w:rsidRPr="005A55D8">
              <w:rPr>
                <w:webHidden/>
                <w:lang w:val="it-IT"/>
              </w:rPr>
              <w:fldChar w:fldCharType="end"/>
            </w:r>
          </w:hyperlink>
        </w:p>
        <w:p w14:paraId="48EB41A5" w14:textId="6737DD58" w:rsidR="00736EFE" w:rsidRPr="005A55D8" w:rsidRDefault="00000000">
          <w:pPr>
            <w:pStyle w:val="20"/>
            <w:tabs>
              <w:tab w:val="right" w:pos="9062"/>
            </w:tabs>
            <w:rPr>
              <w:rFonts w:asciiTheme="minorHAnsi" w:eastAsiaTheme="minorEastAsia" w:hAnsiTheme="minorHAnsi" w:cstheme="minorBidi"/>
              <w:lang w:val="it-IT"/>
            </w:rPr>
          </w:pPr>
          <w:hyperlink w:anchor="_Toc109999719" w:history="1">
            <w:r w:rsidR="00736EFE" w:rsidRPr="005A55D8">
              <w:rPr>
                <w:rStyle w:val="-"/>
                <w:lang w:val="it-IT"/>
              </w:rPr>
              <w:t>2.3 Esplorare la salute fisica e mentale dei migranti</w:t>
            </w:r>
            <w:r w:rsidR="00736EFE" w:rsidRPr="005A55D8">
              <w:rPr>
                <w:webHidden/>
                <w:lang w:val="it-IT"/>
              </w:rPr>
              <w:tab/>
            </w:r>
            <w:r w:rsidR="00736EFE" w:rsidRPr="005A55D8">
              <w:rPr>
                <w:webHidden/>
                <w:lang w:val="it-IT"/>
              </w:rPr>
              <w:fldChar w:fldCharType="begin"/>
            </w:r>
            <w:r w:rsidR="00736EFE" w:rsidRPr="005A55D8">
              <w:rPr>
                <w:webHidden/>
                <w:lang w:val="it-IT"/>
              </w:rPr>
              <w:instrText xml:space="preserve"> PAGEREF _Toc109999719 \h </w:instrText>
            </w:r>
            <w:r w:rsidR="00736EFE" w:rsidRPr="005A55D8">
              <w:rPr>
                <w:webHidden/>
                <w:lang w:val="it-IT"/>
              </w:rPr>
            </w:r>
            <w:r w:rsidR="00736EFE" w:rsidRPr="005A55D8">
              <w:rPr>
                <w:webHidden/>
                <w:lang w:val="it-IT"/>
              </w:rPr>
              <w:fldChar w:fldCharType="separate"/>
            </w:r>
            <w:r w:rsidR="0053430C">
              <w:rPr>
                <w:noProof/>
                <w:webHidden/>
                <w:lang w:val="it-IT"/>
              </w:rPr>
              <w:t>6</w:t>
            </w:r>
            <w:r w:rsidR="00736EFE" w:rsidRPr="005A55D8">
              <w:rPr>
                <w:webHidden/>
                <w:lang w:val="it-IT"/>
              </w:rPr>
              <w:fldChar w:fldCharType="end"/>
            </w:r>
          </w:hyperlink>
        </w:p>
        <w:p w14:paraId="04423488" w14:textId="7E63F0B4" w:rsidR="00736EFE" w:rsidRPr="005A55D8" w:rsidRDefault="00000000">
          <w:pPr>
            <w:pStyle w:val="20"/>
            <w:tabs>
              <w:tab w:val="right" w:pos="9062"/>
            </w:tabs>
            <w:rPr>
              <w:rFonts w:asciiTheme="minorHAnsi" w:eastAsiaTheme="minorEastAsia" w:hAnsiTheme="minorHAnsi" w:cstheme="minorBidi"/>
              <w:lang w:val="it-IT"/>
            </w:rPr>
          </w:pPr>
          <w:hyperlink w:anchor="_Toc109999720" w:history="1">
            <w:r w:rsidR="00736EFE" w:rsidRPr="005A55D8">
              <w:rPr>
                <w:rStyle w:val="-"/>
                <w:lang w:val="it-IT"/>
              </w:rPr>
              <w:t>2.4. Strategie di prevenzione</w:t>
            </w:r>
            <w:r w:rsidR="00736EFE" w:rsidRPr="005A55D8">
              <w:rPr>
                <w:webHidden/>
                <w:lang w:val="it-IT"/>
              </w:rPr>
              <w:tab/>
            </w:r>
            <w:r w:rsidR="00736EFE" w:rsidRPr="005A55D8">
              <w:rPr>
                <w:webHidden/>
                <w:lang w:val="it-IT"/>
              </w:rPr>
              <w:fldChar w:fldCharType="begin"/>
            </w:r>
            <w:r w:rsidR="00736EFE" w:rsidRPr="005A55D8">
              <w:rPr>
                <w:webHidden/>
                <w:lang w:val="it-IT"/>
              </w:rPr>
              <w:instrText xml:space="preserve"> PAGEREF _Toc109999720 \h </w:instrText>
            </w:r>
            <w:r w:rsidR="00736EFE" w:rsidRPr="005A55D8">
              <w:rPr>
                <w:webHidden/>
                <w:lang w:val="it-IT"/>
              </w:rPr>
            </w:r>
            <w:r w:rsidR="00736EFE" w:rsidRPr="005A55D8">
              <w:rPr>
                <w:webHidden/>
                <w:lang w:val="it-IT"/>
              </w:rPr>
              <w:fldChar w:fldCharType="separate"/>
            </w:r>
            <w:r w:rsidR="0053430C">
              <w:rPr>
                <w:noProof/>
                <w:webHidden/>
                <w:lang w:val="it-IT"/>
              </w:rPr>
              <w:t>8</w:t>
            </w:r>
            <w:r w:rsidR="00736EFE" w:rsidRPr="005A55D8">
              <w:rPr>
                <w:webHidden/>
                <w:lang w:val="it-IT"/>
              </w:rPr>
              <w:fldChar w:fldCharType="end"/>
            </w:r>
          </w:hyperlink>
        </w:p>
        <w:p w14:paraId="7AE5F3DC" w14:textId="79BFBB23" w:rsidR="00736EFE" w:rsidRPr="005A55D8" w:rsidRDefault="00000000">
          <w:pPr>
            <w:pStyle w:val="20"/>
            <w:tabs>
              <w:tab w:val="right" w:pos="9062"/>
            </w:tabs>
            <w:rPr>
              <w:rFonts w:asciiTheme="minorHAnsi" w:eastAsiaTheme="minorEastAsia" w:hAnsiTheme="minorHAnsi" w:cstheme="minorBidi"/>
              <w:lang w:val="it-IT"/>
            </w:rPr>
          </w:pPr>
          <w:hyperlink w:anchor="_Toc109999721" w:history="1">
            <w:r w:rsidR="00736EFE" w:rsidRPr="005A55D8">
              <w:rPr>
                <w:rStyle w:val="-"/>
                <w:lang w:val="it-IT"/>
              </w:rPr>
              <w:t>2.5 Riferimenti</w:t>
            </w:r>
            <w:r w:rsidR="00736EFE" w:rsidRPr="005A55D8">
              <w:rPr>
                <w:webHidden/>
                <w:lang w:val="it-IT"/>
              </w:rPr>
              <w:tab/>
            </w:r>
            <w:r w:rsidR="00736EFE" w:rsidRPr="005A55D8">
              <w:rPr>
                <w:webHidden/>
                <w:lang w:val="it-IT"/>
              </w:rPr>
              <w:fldChar w:fldCharType="begin"/>
            </w:r>
            <w:r w:rsidR="00736EFE" w:rsidRPr="005A55D8">
              <w:rPr>
                <w:webHidden/>
                <w:lang w:val="it-IT"/>
              </w:rPr>
              <w:instrText xml:space="preserve"> PAGEREF _Toc109999721 \h </w:instrText>
            </w:r>
            <w:r w:rsidR="00736EFE" w:rsidRPr="005A55D8">
              <w:rPr>
                <w:webHidden/>
                <w:lang w:val="it-IT"/>
              </w:rPr>
            </w:r>
            <w:r w:rsidR="00736EFE" w:rsidRPr="005A55D8">
              <w:rPr>
                <w:webHidden/>
                <w:lang w:val="it-IT"/>
              </w:rPr>
              <w:fldChar w:fldCharType="separate"/>
            </w:r>
            <w:r w:rsidR="0053430C">
              <w:rPr>
                <w:noProof/>
                <w:webHidden/>
                <w:lang w:val="it-IT"/>
              </w:rPr>
              <w:t>9</w:t>
            </w:r>
            <w:r w:rsidR="00736EFE" w:rsidRPr="005A55D8">
              <w:rPr>
                <w:webHidden/>
                <w:lang w:val="it-IT"/>
              </w:rPr>
              <w:fldChar w:fldCharType="end"/>
            </w:r>
          </w:hyperlink>
        </w:p>
        <w:p w14:paraId="62C93070" w14:textId="77777777" w:rsidR="00D3767C" w:rsidRPr="005A55D8" w:rsidRDefault="00775C71">
          <w:pPr>
            <w:rPr>
              <w:lang w:val="it-IT"/>
            </w:rPr>
          </w:pPr>
          <w:r w:rsidRPr="005A55D8">
            <w:rPr>
              <w:lang w:val="it-IT"/>
            </w:rPr>
            <w:fldChar w:fldCharType="end"/>
          </w:r>
        </w:p>
      </w:sdtContent>
    </w:sdt>
    <w:p w14:paraId="5B5419B8" w14:textId="77777777" w:rsidR="00D3767C" w:rsidRPr="005A55D8" w:rsidRDefault="00775C71">
      <w:pPr>
        <w:rPr>
          <w:sz w:val="24"/>
          <w:szCs w:val="24"/>
          <w:lang w:val="it-IT"/>
        </w:rPr>
      </w:pPr>
      <w:r w:rsidRPr="005A55D8">
        <w:rPr>
          <w:lang w:val="it-IT"/>
        </w:rPr>
        <w:br w:type="page"/>
      </w:r>
    </w:p>
    <w:p w14:paraId="446B8A4D" w14:textId="77777777" w:rsidR="00D3767C" w:rsidRPr="005A55D8" w:rsidRDefault="00775C71">
      <w:pPr>
        <w:pStyle w:val="2"/>
        <w:rPr>
          <w:lang w:val="it-IT"/>
        </w:rPr>
      </w:pPr>
      <w:bookmarkStart w:id="0" w:name="_Toc109999716"/>
      <w:r w:rsidRPr="005A55D8">
        <w:rPr>
          <w:lang w:val="it-IT"/>
        </w:rPr>
        <w:lastRenderedPageBreak/>
        <w:t>2.0 Introduzione</w:t>
      </w:r>
      <w:bookmarkEnd w:id="0"/>
    </w:p>
    <w:p w14:paraId="6CA5795F" w14:textId="77777777" w:rsidR="00D3767C" w:rsidRPr="005A55D8" w:rsidRDefault="00D3767C">
      <w:pPr>
        <w:rPr>
          <w:sz w:val="24"/>
          <w:szCs w:val="24"/>
          <w:lang w:val="it-IT"/>
        </w:rPr>
      </w:pPr>
    </w:p>
    <w:p w14:paraId="232E23B4" w14:textId="77777777" w:rsidR="00D3767C" w:rsidRPr="005A55D8" w:rsidRDefault="00775C71">
      <w:pPr>
        <w:rPr>
          <w:lang w:val="it-IT"/>
        </w:rPr>
      </w:pPr>
      <w:r w:rsidRPr="005A55D8">
        <w:rPr>
          <w:lang w:val="it-IT"/>
        </w:rPr>
        <w:t>Il seguente manuale fa parte dell'output intellettuale 2 del progetto MIG-DHL. Questo manuale copre tutti i sei moduli:</w:t>
      </w:r>
    </w:p>
    <w:p w14:paraId="3C1C8356" w14:textId="77777777" w:rsidR="00D3767C" w:rsidRPr="005A55D8" w:rsidRDefault="00775C71">
      <w:pPr>
        <w:numPr>
          <w:ilvl w:val="0"/>
          <w:numId w:val="1"/>
        </w:numPr>
        <w:pBdr>
          <w:top w:val="nil"/>
          <w:left w:val="nil"/>
          <w:bottom w:val="nil"/>
          <w:right w:val="nil"/>
          <w:between w:val="nil"/>
        </w:pBdr>
        <w:spacing w:after="0"/>
        <w:rPr>
          <w:color w:val="000000"/>
          <w:lang w:val="it-IT"/>
        </w:rPr>
      </w:pPr>
      <w:r w:rsidRPr="005A55D8">
        <w:rPr>
          <w:color w:val="000000"/>
          <w:lang w:val="it-IT"/>
        </w:rPr>
        <w:t xml:space="preserve">Che cos'è la </w:t>
      </w:r>
      <w:r w:rsidRPr="005A55D8">
        <w:rPr>
          <w:i/>
          <w:color w:val="000000"/>
          <w:lang w:val="it-IT"/>
        </w:rPr>
        <w:t>Digital Health Literacy</w:t>
      </w:r>
      <w:r w:rsidR="00736EFE" w:rsidRPr="005A55D8">
        <w:rPr>
          <w:color w:val="000000"/>
          <w:lang w:val="it-IT"/>
        </w:rPr>
        <w:t xml:space="preserve"> (alfabetizzazione sanitaria digitale)</w:t>
      </w:r>
      <w:r w:rsidRPr="005A55D8">
        <w:rPr>
          <w:color w:val="000000"/>
          <w:lang w:val="it-IT"/>
        </w:rPr>
        <w:t>?</w:t>
      </w:r>
    </w:p>
    <w:p w14:paraId="2CE75701" w14:textId="77777777" w:rsidR="00D3767C" w:rsidRPr="005A55D8" w:rsidRDefault="00775C71">
      <w:pPr>
        <w:numPr>
          <w:ilvl w:val="0"/>
          <w:numId w:val="1"/>
        </w:numPr>
        <w:pBdr>
          <w:top w:val="nil"/>
          <w:left w:val="nil"/>
          <w:bottom w:val="nil"/>
          <w:right w:val="nil"/>
          <w:between w:val="nil"/>
        </w:pBdr>
        <w:spacing w:after="0"/>
        <w:rPr>
          <w:b/>
          <w:color w:val="000000"/>
          <w:lang w:val="it-IT"/>
        </w:rPr>
      </w:pPr>
      <w:r w:rsidRPr="005A55D8">
        <w:rPr>
          <w:b/>
          <w:color w:val="000000"/>
          <w:lang w:val="it-IT"/>
        </w:rPr>
        <w:t>Principali problemi di salute quando si</w:t>
      </w:r>
      <w:r w:rsidR="005C6FD8" w:rsidRPr="005A55D8">
        <w:rPr>
          <w:b/>
          <w:color w:val="000000"/>
          <w:lang w:val="it-IT"/>
        </w:rPr>
        <w:t xml:space="preserve"> arriva</w:t>
      </w:r>
      <w:r w:rsidRPr="005A55D8">
        <w:rPr>
          <w:b/>
          <w:color w:val="000000"/>
          <w:lang w:val="it-IT"/>
        </w:rPr>
        <w:t xml:space="preserve"> in un nuovo paese</w:t>
      </w:r>
    </w:p>
    <w:p w14:paraId="42019642" w14:textId="77777777" w:rsidR="00D3767C" w:rsidRPr="005A55D8" w:rsidRDefault="005C6FD8">
      <w:pPr>
        <w:numPr>
          <w:ilvl w:val="0"/>
          <w:numId w:val="1"/>
        </w:numPr>
        <w:pBdr>
          <w:top w:val="nil"/>
          <w:left w:val="nil"/>
          <w:bottom w:val="nil"/>
          <w:right w:val="nil"/>
          <w:between w:val="nil"/>
        </w:pBdr>
        <w:spacing w:after="0"/>
        <w:rPr>
          <w:color w:val="000000"/>
          <w:lang w:val="it-IT"/>
        </w:rPr>
      </w:pPr>
      <w:r w:rsidRPr="005A55D8">
        <w:rPr>
          <w:color w:val="000000"/>
          <w:lang w:val="it-IT"/>
        </w:rPr>
        <w:t>I s</w:t>
      </w:r>
      <w:r w:rsidR="00775C71" w:rsidRPr="005A55D8">
        <w:rPr>
          <w:color w:val="000000"/>
          <w:lang w:val="it-IT"/>
        </w:rPr>
        <w:t>ervizi sanitari</w:t>
      </w:r>
    </w:p>
    <w:p w14:paraId="51EE3419" w14:textId="77777777" w:rsidR="00D3767C" w:rsidRPr="005A55D8" w:rsidRDefault="00775C71">
      <w:pPr>
        <w:numPr>
          <w:ilvl w:val="0"/>
          <w:numId w:val="1"/>
        </w:numPr>
        <w:pBdr>
          <w:top w:val="nil"/>
          <w:left w:val="nil"/>
          <w:bottom w:val="nil"/>
          <w:right w:val="nil"/>
          <w:between w:val="nil"/>
        </w:pBdr>
        <w:spacing w:after="0"/>
        <w:rPr>
          <w:color w:val="000000"/>
          <w:lang w:val="it-IT"/>
        </w:rPr>
      </w:pPr>
      <w:r w:rsidRPr="005A55D8">
        <w:rPr>
          <w:color w:val="000000"/>
          <w:lang w:val="it-IT"/>
        </w:rPr>
        <w:t xml:space="preserve">Diventare </w:t>
      </w:r>
      <w:r w:rsidR="005C6FD8" w:rsidRPr="005A55D8">
        <w:rPr>
          <w:color w:val="000000"/>
          <w:lang w:val="it-IT"/>
        </w:rPr>
        <w:t xml:space="preserve">digitalmente </w:t>
      </w:r>
      <w:r w:rsidRPr="005A55D8">
        <w:rPr>
          <w:color w:val="000000"/>
          <w:lang w:val="it-IT"/>
        </w:rPr>
        <w:t xml:space="preserve">alfabetizzati </w:t>
      </w:r>
    </w:p>
    <w:p w14:paraId="3A517FEB" w14:textId="77777777" w:rsidR="00D3767C" w:rsidRPr="005A55D8" w:rsidRDefault="00775C71">
      <w:pPr>
        <w:numPr>
          <w:ilvl w:val="0"/>
          <w:numId w:val="1"/>
        </w:numPr>
        <w:pBdr>
          <w:top w:val="nil"/>
          <w:left w:val="nil"/>
          <w:bottom w:val="nil"/>
          <w:right w:val="nil"/>
          <w:between w:val="nil"/>
        </w:pBdr>
        <w:spacing w:after="0"/>
        <w:rPr>
          <w:color w:val="000000"/>
          <w:lang w:val="it-IT"/>
        </w:rPr>
      </w:pPr>
      <w:r w:rsidRPr="005A55D8">
        <w:rPr>
          <w:color w:val="000000"/>
          <w:lang w:val="it-IT"/>
        </w:rPr>
        <w:t>Esplorare gli strumenti di salute digitale</w:t>
      </w:r>
    </w:p>
    <w:p w14:paraId="63A5363B" w14:textId="77777777" w:rsidR="00D3767C" w:rsidRPr="005A55D8" w:rsidRDefault="00775C71">
      <w:pPr>
        <w:numPr>
          <w:ilvl w:val="0"/>
          <w:numId w:val="1"/>
        </w:numPr>
        <w:pBdr>
          <w:top w:val="nil"/>
          <w:left w:val="nil"/>
          <w:bottom w:val="nil"/>
          <w:right w:val="nil"/>
          <w:between w:val="nil"/>
        </w:pBdr>
        <w:rPr>
          <w:color w:val="000000"/>
          <w:lang w:val="it-IT"/>
        </w:rPr>
      </w:pPr>
      <w:r w:rsidRPr="005A55D8">
        <w:rPr>
          <w:color w:val="000000"/>
          <w:lang w:val="it-IT"/>
        </w:rPr>
        <w:t xml:space="preserve">Essere attivi nell'ambiente </w:t>
      </w:r>
      <w:r w:rsidR="005C6FD8" w:rsidRPr="005A55D8">
        <w:rPr>
          <w:color w:val="000000"/>
          <w:lang w:val="it-IT"/>
        </w:rPr>
        <w:t xml:space="preserve">della salute </w:t>
      </w:r>
      <w:r w:rsidRPr="005A55D8">
        <w:rPr>
          <w:color w:val="000000"/>
          <w:lang w:val="it-IT"/>
        </w:rPr>
        <w:t>digitale</w:t>
      </w:r>
    </w:p>
    <w:p w14:paraId="541E69CC" w14:textId="77777777" w:rsidR="00D3767C" w:rsidRPr="005A55D8" w:rsidRDefault="005C6FD8">
      <w:pPr>
        <w:rPr>
          <w:lang w:val="it-IT"/>
        </w:rPr>
      </w:pPr>
      <w:r w:rsidRPr="005A55D8">
        <w:rPr>
          <w:lang w:val="it-IT"/>
        </w:rPr>
        <w:t>Il manuale è rivolto specificamente ai formatori e ai collaboratori (operatori sociali, sanitari, e</w:t>
      </w:r>
      <w:r w:rsidR="005A55D8">
        <w:rPr>
          <w:lang w:val="it-IT"/>
        </w:rPr>
        <w:t>t</w:t>
      </w:r>
      <w:r w:rsidRPr="005A55D8">
        <w:rPr>
          <w:lang w:val="it-IT"/>
        </w:rPr>
        <w:t>c.) con l’obiettivo di poter fornire loro una conoscenza più approfondita degli argomenti trattati nelle sessioni di formazione.  Inoltre il formatore è preparato a rispondere a domande più dettagliate rispetto alle informazioni fornite nel materiale formativo. Pertanto questo manuale fornisce una conoscenza più approfondita e collegamenti a risorse aggiuntive relative ai contenuti, in primo luogo per i formatori, ma naturalmente anche per tutte le altre persone che desiderano saperne di più sugli argomenti.</w:t>
      </w:r>
    </w:p>
    <w:p w14:paraId="2DCD9452" w14:textId="77777777" w:rsidR="00D3767C" w:rsidRPr="005A55D8" w:rsidRDefault="00775C71">
      <w:pPr>
        <w:rPr>
          <w:lang w:val="it-IT"/>
        </w:rPr>
      </w:pPr>
      <w:r w:rsidRPr="005A55D8">
        <w:rPr>
          <w:lang w:val="it-IT"/>
        </w:rPr>
        <w:t>La struttura del manuale è orientata alla struttura del programma di formazione. Ogni modulo ha un capitolo di circa 6-8 pagine.</w:t>
      </w:r>
    </w:p>
    <w:p w14:paraId="42BFE621" w14:textId="77777777" w:rsidR="005C6FD8" w:rsidRPr="005A55D8" w:rsidRDefault="00775C71">
      <w:pPr>
        <w:pBdr>
          <w:top w:val="nil"/>
          <w:left w:val="nil"/>
          <w:bottom w:val="nil"/>
          <w:right w:val="nil"/>
          <w:between w:val="nil"/>
        </w:pBdr>
        <w:spacing w:after="0"/>
        <w:rPr>
          <w:b/>
          <w:lang w:val="it-IT"/>
        </w:rPr>
      </w:pPr>
      <w:r w:rsidRPr="005A55D8">
        <w:rPr>
          <w:lang w:val="it-IT"/>
        </w:rPr>
        <w:t xml:space="preserve">Questa particolare parte del manuale contiene informazioni relative al </w:t>
      </w:r>
      <w:r w:rsidRPr="005A55D8">
        <w:rPr>
          <w:b/>
          <w:lang w:val="it-IT"/>
        </w:rPr>
        <w:t xml:space="preserve">Modulo 2: </w:t>
      </w:r>
      <w:r w:rsidRPr="005A55D8">
        <w:rPr>
          <w:b/>
          <w:color w:val="000000"/>
          <w:lang w:val="it-IT"/>
        </w:rPr>
        <w:t xml:space="preserve">Principali problemi di salute quando si </w:t>
      </w:r>
      <w:r w:rsidR="005C6FD8" w:rsidRPr="005A55D8">
        <w:rPr>
          <w:b/>
          <w:color w:val="000000"/>
          <w:lang w:val="it-IT"/>
        </w:rPr>
        <w:t>arriva</w:t>
      </w:r>
      <w:r w:rsidRPr="005A55D8">
        <w:rPr>
          <w:b/>
          <w:color w:val="000000"/>
          <w:lang w:val="it-IT"/>
        </w:rPr>
        <w:t xml:space="preserve"> in un nuovo Paese</w:t>
      </w:r>
      <w:r w:rsidRPr="005A55D8">
        <w:rPr>
          <w:lang w:val="it-IT"/>
        </w:rPr>
        <w:t xml:space="preserve">. </w:t>
      </w:r>
      <w:r w:rsidR="005C6FD8" w:rsidRPr="005A55D8">
        <w:rPr>
          <w:lang w:val="it-IT"/>
        </w:rPr>
        <w:t>Q</w:t>
      </w:r>
      <w:r w:rsidRPr="005A55D8">
        <w:rPr>
          <w:lang w:val="it-IT"/>
        </w:rPr>
        <w:t xml:space="preserve">ui troverete le informazioni teoriche necessarie per supportare i contenuti e le attività del </w:t>
      </w:r>
      <w:r w:rsidRPr="005A55D8">
        <w:rPr>
          <w:b/>
          <w:lang w:val="it-IT"/>
        </w:rPr>
        <w:t xml:space="preserve">DPTA_2. </w:t>
      </w:r>
    </w:p>
    <w:p w14:paraId="56EC5FBF" w14:textId="77777777" w:rsidR="00D3767C" w:rsidRPr="005A55D8" w:rsidRDefault="00775C71">
      <w:pPr>
        <w:pBdr>
          <w:top w:val="nil"/>
          <w:left w:val="nil"/>
          <w:bottom w:val="nil"/>
          <w:right w:val="nil"/>
          <w:between w:val="nil"/>
        </w:pBdr>
        <w:spacing w:after="0"/>
        <w:rPr>
          <w:lang w:val="it-IT"/>
        </w:rPr>
      </w:pPr>
      <w:r w:rsidRPr="005A55D8">
        <w:rPr>
          <w:lang w:val="it-IT"/>
        </w:rPr>
        <w:t>Il</w:t>
      </w:r>
      <w:r w:rsidRPr="005A55D8">
        <w:rPr>
          <w:b/>
          <w:lang w:val="it-IT"/>
        </w:rPr>
        <w:t xml:space="preserve"> Modulo 2 "Principali problemi di salute quando si </w:t>
      </w:r>
      <w:r w:rsidR="005C6FD8" w:rsidRPr="005A55D8">
        <w:rPr>
          <w:b/>
          <w:lang w:val="it-IT"/>
        </w:rPr>
        <w:t>arriva</w:t>
      </w:r>
      <w:r w:rsidRPr="005A55D8">
        <w:rPr>
          <w:b/>
          <w:lang w:val="it-IT"/>
        </w:rPr>
        <w:t xml:space="preserve"> in un nuovo Paese" </w:t>
      </w:r>
      <w:r w:rsidRPr="005A55D8">
        <w:rPr>
          <w:lang w:val="it-IT"/>
        </w:rPr>
        <w:t>è</w:t>
      </w:r>
      <w:r w:rsidRPr="005A55D8">
        <w:rPr>
          <w:b/>
          <w:lang w:val="it-IT"/>
        </w:rPr>
        <w:t xml:space="preserve"> </w:t>
      </w:r>
      <w:r w:rsidR="005C6FD8" w:rsidRPr="005A55D8">
        <w:rPr>
          <w:lang w:val="it-IT"/>
        </w:rPr>
        <w:t>incentrato alla</w:t>
      </w:r>
      <w:r w:rsidRPr="005A55D8">
        <w:rPr>
          <w:lang w:val="it-IT"/>
        </w:rPr>
        <w:t xml:space="preserve"> sensibilizzazione sui </w:t>
      </w:r>
      <w:r w:rsidR="005C6FD8" w:rsidRPr="005A55D8">
        <w:rPr>
          <w:lang w:val="it-IT"/>
        </w:rPr>
        <w:t xml:space="preserve">principali </w:t>
      </w:r>
      <w:r w:rsidRPr="005A55D8">
        <w:rPr>
          <w:lang w:val="it-IT"/>
        </w:rPr>
        <w:t>problemi di salute</w:t>
      </w:r>
      <w:r w:rsidR="005C6FD8" w:rsidRPr="005A55D8">
        <w:rPr>
          <w:lang w:val="it-IT"/>
        </w:rPr>
        <w:t xml:space="preserve"> </w:t>
      </w:r>
      <w:r w:rsidRPr="005A55D8">
        <w:rPr>
          <w:lang w:val="it-IT"/>
        </w:rPr>
        <w:t xml:space="preserve">cui i migranti </w:t>
      </w:r>
      <w:r w:rsidR="005C6FD8" w:rsidRPr="005A55D8">
        <w:rPr>
          <w:lang w:val="it-IT"/>
        </w:rPr>
        <w:t xml:space="preserve">possono essere </w:t>
      </w:r>
      <w:r w:rsidRPr="005A55D8">
        <w:rPr>
          <w:lang w:val="it-IT"/>
        </w:rPr>
        <w:t xml:space="preserve">particolarmente soggetti </w:t>
      </w:r>
      <w:r w:rsidR="005C6FD8" w:rsidRPr="005A55D8">
        <w:rPr>
          <w:lang w:val="it-IT"/>
        </w:rPr>
        <w:t>al momento dell’arrivo</w:t>
      </w:r>
      <w:r w:rsidRPr="005A55D8">
        <w:rPr>
          <w:lang w:val="it-IT"/>
        </w:rPr>
        <w:t xml:space="preserve"> in un nuovo Paese. Il materiale formativo si concentra sui fattori che influenzano la salute prima, durante e dopo l'arrivo dei migranti nel Paese ospitante. Ognuna di queste fasi ha un impatto sulla salute fisica e mentale dei migranti </w:t>
      </w:r>
      <w:r w:rsidR="005A55D8">
        <w:rPr>
          <w:lang w:val="it-IT"/>
        </w:rPr>
        <w:t>e</w:t>
      </w:r>
      <w:r w:rsidRPr="005A55D8">
        <w:rPr>
          <w:lang w:val="it-IT"/>
        </w:rPr>
        <w:t>, in alcuni casi, sono interconnesse e reciprocamente dipendenti.</w:t>
      </w:r>
    </w:p>
    <w:p w14:paraId="45220179" w14:textId="77777777" w:rsidR="005C6FD8" w:rsidRPr="005A55D8" w:rsidRDefault="00775C71">
      <w:pPr>
        <w:pBdr>
          <w:top w:val="nil"/>
          <w:left w:val="nil"/>
          <w:bottom w:val="nil"/>
          <w:right w:val="nil"/>
          <w:between w:val="nil"/>
        </w:pBdr>
        <w:spacing w:after="0"/>
        <w:rPr>
          <w:color w:val="222222"/>
          <w:lang w:val="it-IT"/>
        </w:rPr>
      </w:pPr>
      <w:r w:rsidRPr="005A55D8">
        <w:rPr>
          <w:color w:val="222222"/>
          <w:lang w:val="it-IT"/>
        </w:rPr>
        <w:lastRenderedPageBreak/>
        <w:t>I problemi di salute non si manifestano solo con i sintomi delle malattie</w:t>
      </w:r>
      <w:r w:rsidR="005C6FD8" w:rsidRPr="005A55D8">
        <w:rPr>
          <w:color w:val="222222"/>
          <w:lang w:val="it-IT"/>
        </w:rPr>
        <w:t xml:space="preserve">, ma possono essere affrontati </w:t>
      </w:r>
      <w:r w:rsidRPr="005A55D8">
        <w:rPr>
          <w:color w:val="222222"/>
          <w:lang w:val="it-IT"/>
        </w:rPr>
        <w:t xml:space="preserve">anche </w:t>
      </w:r>
      <w:r w:rsidR="005C6FD8" w:rsidRPr="005A55D8">
        <w:rPr>
          <w:color w:val="222222"/>
          <w:lang w:val="it-IT"/>
        </w:rPr>
        <w:t xml:space="preserve">portando attenzione ad elementi culturali quali </w:t>
      </w:r>
      <w:r w:rsidRPr="005A55D8">
        <w:rPr>
          <w:color w:val="222222"/>
          <w:lang w:val="it-IT"/>
        </w:rPr>
        <w:t xml:space="preserve">il linguaggio, i termini </w:t>
      </w:r>
      <w:r w:rsidR="005C6FD8" w:rsidRPr="005A55D8">
        <w:rPr>
          <w:color w:val="222222"/>
          <w:lang w:val="it-IT"/>
        </w:rPr>
        <w:t xml:space="preserve">usati </w:t>
      </w:r>
      <w:r w:rsidRPr="005A55D8">
        <w:rPr>
          <w:color w:val="222222"/>
          <w:lang w:val="it-IT"/>
        </w:rPr>
        <w:t xml:space="preserve">e </w:t>
      </w:r>
      <w:r w:rsidR="005C6FD8" w:rsidRPr="005A55D8">
        <w:rPr>
          <w:color w:val="222222"/>
          <w:lang w:val="it-IT"/>
        </w:rPr>
        <w:t>le diverse modalità</w:t>
      </w:r>
      <w:r w:rsidRPr="005A55D8">
        <w:rPr>
          <w:color w:val="222222"/>
          <w:lang w:val="it-IT"/>
        </w:rPr>
        <w:t xml:space="preserve"> di affrontare la malattia. </w:t>
      </w:r>
      <w:r w:rsidR="005A55D8">
        <w:rPr>
          <w:color w:val="222222"/>
          <w:lang w:val="it-IT"/>
        </w:rPr>
        <w:t>Spesso d</w:t>
      </w:r>
      <w:r w:rsidRPr="005A55D8">
        <w:rPr>
          <w:color w:val="222222"/>
          <w:lang w:val="it-IT"/>
        </w:rPr>
        <w:t xml:space="preserve">ietro ai sintomi e alla loro descrizione </w:t>
      </w:r>
      <w:r w:rsidR="005A55D8">
        <w:rPr>
          <w:color w:val="222222"/>
          <w:lang w:val="it-IT"/>
        </w:rPr>
        <w:t>agiscono</w:t>
      </w:r>
      <w:r w:rsidRPr="005A55D8">
        <w:rPr>
          <w:color w:val="222222"/>
          <w:lang w:val="it-IT"/>
        </w:rPr>
        <w:t xml:space="preserve"> narrazioni specifiche d</w:t>
      </w:r>
      <w:r w:rsidR="005C6FD8" w:rsidRPr="005A55D8">
        <w:rPr>
          <w:color w:val="222222"/>
          <w:lang w:val="it-IT"/>
        </w:rPr>
        <w:t>i elementi culturali</w:t>
      </w:r>
      <w:r w:rsidR="005A55D8">
        <w:rPr>
          <w:color w:val="222222"/>
          <w:lang w:val="it-IT"/>
        </w:rPr>
        <w:t>: riteniamo molto importante una sensibilizzazione su questi aspetti per le persone coinvolte nella presa in carico dei percorsi terapeutici delle persone migranti.</w:t>
      </w:r>
      <w:r w:rsidRPr="005A55D8">
        <w:rPr>
          <w:color w:val="222222"/>
          <w:lang w:val="it-IT"/>
        </w:rPr>
        <w:t xml:space="preserve"> </w:t>
      </w:r>
    </w:p>
    <w:p w14:paraId="449F45B0" w14:textId="77777777" w:rsidR="00D3767C" w:rsidRPr="005A55D8" w:rsidRDefault="00775C71">
      <w:pPr>
        <w:pBdr>
          <w:top w:val="nil"/>
          <w:left w:val="nil"/>
          <w:bottom w:val="nil"/>
          <w:right w:val="nil"/>
          <w:between w:val="nil"/>
        </w:pBdr>
        <w:spacing w:after="0"/>
        <w:rPr>
          <w:rFonts w:ascii="Times New Roman" w:eastAsia="Times New Roman" w:hAnsi="Times New Roman" w:cs="Times New Roman"/>
          <w:color w:val="000000"/>
          <w:lang w:val="it-IT"/>
        </w:rPr>
      </w:pPr>
      <w:r w:rsidRPr="005A55D8">
        <w:rPr>
          <w:color w:val="222222"/>
          <w:lang w:val="it-IT"/>
        </w:rPr>
        <w:t>Il modulo descrive le malattie più comuni e le relative terapie che un migrante può incontrare nel Paese ospitante e come queste possono essere affrontate utilizzando i mezzi digitali. Un altro obiettivo del modulo è quello di esplorare i principali comportamenti determinanti per la salute</w:t>
      </w:r>
      <w:r w:rsidR="00683484" w:rsidRPr="005A55D8">
        <w:rPr>
          <w:color w:val="222222"/>
          <w:lang w:val="it-IT"/>
        </w:rPr>
        <w:t>,</w:t>
      </w:r>
      <w:r w:rsidRPr="005A55D8">
        <w:rPr>
          <w:color w:val="222222"/>
          <w:lang w:val="it-IT"/>
        </w:rPr>
        <w:t xml:space="preserve"> </w:t>
      </w:r>
      <w:r w:rsidR="00683484" w:rsidRPr="005A55D8">
        <w:rPr>
          <w:color w:val="222222"/>
          <w:lang w:val="it-IT"/>
        </w:rPr>
        <w:t xml:space="preserve">la loro correlazione </w:t>
      </w:r>
      <w:r w:rsidRPr="005A55D8">
        <w:rPr>
          <w:color w:val="222222"/>
          <w:lang w:val="it-IT"/>
        </w:rPr>
        <w:t xml:space="preserve">e </w:t>
      </w:r>
      <w:r w:rsidR="00683484" w:rsidRPr="005A55D8">
        <w:rPr>
          <w:color w:val="222222"/>
          <w:lang w:val="it-IT"/>
        </w:rPr>
        <w:t>possib</w:t>
      </w:r>
      <w:r w:rsidR="005A55D8">
        <w:rPr>
          <w:color w:val="222222"/>
          <w:lang w:val="it-IT"/>
        </w:rPr>
        <w:t>i</w:t>
      </w:r>
      <w:r w:rsidR="00683484" w:rsidRPr="005A55D8">
        <w:rPr>
          <w:color w:val="222222"/>
          <w:lang w:val="it-IT"/>
        </w:rPr>
        <w:t xml:space="preserve">le </w:t>
      </w:r>
      <w:r w:rsidRPr="005A55D8">
        <w:rPr>
          <w:color w:val="222222"/>
          <w:lang w:val="it-IT"/>
        </w:rPr>
        <w:t>influenza</w:t>
      </w:r>
      <w:r w:rsidR="00683484" w:rsidRPr="005A55D8">
        <w:rPr>
          <w:color w:val="222222"/>
          <w:lang w:val="it-IT"/>
        </w:rPr>
        <w:t xml:space="preserve"> su</w:t>
      </w:r>
      <w:r w:rsidRPr="005A55D8">
        <w:rPr>
          <w:color w:val="222222"/>
          <w:lang w:val="it-IT"/>
        </w:rPr>
        <w:t>i risultati sanitari. Inoltre il modulo mira a descrivere le strategie di prevenzione di prima linea che i migranti dovrebbero conoscere quando arrivano nel Paese ospitante.</w:t>
      </w:r>
    </w:p>
    <w:p w14:paraId="2D415CC3" w14:textId="77777777" w:rsidR="00D3767C" w:rsidRPr="005A55D8" w:rsidRDefault="00D3767C">
      <w:pPr>
        <w:spacing w:after="0"/>
        <w:rPr>
          <w:sz w:val="24"/>
          <w:szCs w:val="24"/>
          <w:lang w:val="it-IT"/>
        </w:rPr>
      </w:pPr>
    </w:p>
    <w:p w14:paraId="3F9066ED" w14:textId="77777777" w:rsidR="00D3767C" w:rsidRPr="005A55D8" w:rsidRDefault="00775C71">
      <w:pPr>
        <w:pStyle w:val="2"/>
        <w:rPr>
          <w:lang w:val="it-IT"/>
        </w:rPr>
      </w:pPr>
      <w:bookmarkStart w:id="1" w:name="_Toc109999717"/>
      <w:r w:rsidRPr="005A55D8">
        <w:rPr>
          <w:lang w:val="it-IT"/>
        </w:rPr>
        <w:t xml:space="preserve">2.1 </w:t>
      </w:r>
      <w:bookmarkEnd w:id="1"/>
      <w:r w:rsidR="00683484" w:rsidRPr="005A55D8">
        <w:rPr>
          <w:lang w:val="it-IT"/>
        </w:rPr>
        <w:t>Apertura del modulo</w:t>
      </w:r>
    </w:p>
    <w:p w14:paraId="21C973E2" w14:textId="77777777" w:rsidR="00D3767C" w:rsidRPr="005A55D8" w:rsidRDefault="00D3767C">
      <w:pPr>
        <w:rPr>
          <w:lang w:val="it-IT"/>
        </w:rPr>
      </w:pPr>
    </w:p>
    <w:p w14:paraId="486F5A27" w14:textId="77777777" w:rsidR="00D3767C" w:rsidRPr="005A55D8" w:rsidRDefault="00775C71">
      <w:pPr>
        <w:rPr>
          <w:lang w:val="it-IT"/>
        </w:rPr>
      </w:pPr>
      <w:r w:rsidRPr="005A55D8">
        <w:rPr>
          <w:lang w:val="it-IT"/>
        </w:rPr>
        <w:t>Durante l'apertura il formatore deve spiegare gli obiettivi della sessione, la durata, l</w:t>
      </w:r>
      <w:r w:rsidR="00683484" w:rsidRPr="005A55D8">
        <w:rPr>
          <w:lang w:val="it-IT"/>
        </w:rPr>
        <w:t>a struttura</w:t>
      </w:r>
      <w:r w:rsidRPr="005A55D8">
        <w:rPr>
          <w:lang w:val="it-IT"/>
        </w:rPr>
        <w:t xml:space="preserve"> e le attività</w:t>
      </w:r>
      <w:r w:rsidR="00683484" w:rsidRPr="005A55D8">
        <w:rPr>
          <w:lang w:val="it-IT"/>
        </w:rPr>
        <w:t xml:space="preserve"> che saranno svolte</w:t>
      </w:r>
      <w:r w:rsidRPr="005A55D8">
        <w:rPr>
          <w:lang w:val="it-IT"/>
        </w:rPr>
        <w:t>. Tenete presente che i partecipanti potrebbero provenire da contesti educativi molto diversi e potrebbero non essere necessariamente abituati a un ambiente di</w:t>
      </w:r>
      <w:r w:rsidR="00683484" w:rsidRPr="005A55D8">
        <w:rPr>
          <w:lang w:val="it-IT"/>
        </w:rPr>
        <w:t xml:space="preserve"> apprendimento formale</w:t>
      </w:r>
      <w:r w:rsidRPr="005A55D8">
        <w:rPr>
          <w:lang w:val="it-IT"/>
        </w:rPr>
        <w:t>. Per questo motivo potre</w:t>
      </w:r>
      <w:r w:rsidR="00683484" w:rsidRPr="005A55D8">
        <w:rPr>
          <w:lang w:val="it-IT"/>
        </w:rPr>
        <w:t>bbe essere consigliabile</w:t>
      </w:r>
      <w:r w:rsidRPr="005A55D8">
        <w:rPr>
          <w:lang w:val="it-IT"/>
        </w:rPr>
        <w:t xml:space="preserve"> aprire la sessione con un</w:t>
      </w:r>
      <w:r w:rsidR="009B67C4">
        <w:rPr>
          <w:lang w:val="it-IT"/>
        </w:rPr>
        <w:t xml:space="preserve"> momento di presentazione informale,</w:t>
      </w:r>
      <w:r w:rsidRPr="005A55D8">
        <w:rPr>
          <w:lang w:val="it-IT"/>
        </w:rPr>
        <w:t xml:space="preserve"> chiedendo </w:t>
      </w:r>
      <w:r w:rsidR="009B67C4">
        <w:rPr>
          <w:lang w:val="it-IT"/>
        </w:rPr>
        <w:t>ai partecipanti</w:t>
      </w:r>
      <w:r w:rsidRPr="005A55D8">
        <w:rPr>
          <w:lang w:val="it-IT"/>
        </w:rPr>
        <w:t xml:space="preserve"> informazioni sul loro background e sui loro interessi. Cercate di scoprire di più sul loro livello di istruzione, se </w:t>
      </w:r>
      <w:r w:rsidR="00683484" w:rsidRPr="005A55D8">
        <w:rPr>
          <w:lang w:val="it-IT"/>
        </w:rPr>
        <w:t xml:space="preserve">questo </w:t>
      </w:r>
      <w:r w:rsidRPr="005A55D8">
        <w:rPr>
          <w:lang w:val="it-IT"/>
        </w:rPr>
        <w:t xml:space="preserve">non </w:t>
      </w:r>
      <w:r w:rsidR="00683484" w:rsidRPr="005A55D8">
        <w:rPr>
          <w:lang w:val="it-IT"/>
        </w:rPr>
        <w:t>è</w:t>
      </w:r>
      <w:r w:rsidRPr="005A55D8">
        <w:rPr>
          <w:lang w:val="it-IT"/>
        </w:rPr>
        <w:t xml:space="preserve"> noto prima della formazione. </w:t>
      </w:r>
    </w:p>
    <w:p w14:paraId="72E254B8" w14:textId="77777777" w:rsidR="00D3767C" w:rsidRPr="005A55D8" w:rsidRDefault="00775C71">
      <w:pPr>
        <w:rPr>
          <w:lang w:val="it-IT"/>
        </w:rPr>
      </w:pPr>
      <w:r w:rsidRPr="005A55D8">
        <w:rPr>
          <w:lang w:val="it-IT"/>
        </w:rPr>
        <w:t xml:space="preserve">Per </w:t>
      </w:r>
      <w:r w:rsidR="009B67C4">
        <w:rPr>
          <w:lang w:val="it-IT"/>
        </w:rPr>
        <w:t xml:space="preserve">seguire </w:t>
      </w:r>
      <w:r w:rsidRPr="005A55D8">
        <w:rPr>
          <w:lang w:val="it-IT"/>
        </w:rPr>
        <w:t>questo modulo si presuppone che gli studenti siano alfabetizzati e suffic</w:t>
      </w:r>
      <w:r w:rsidR="00683484" w:rsidRPr="005A55D8">
        <w:rPr>
          <w:lang w:val="it-IT"/>
        </w:rPr>
        <w:t>i</w:t>
      </w:r>
      <w:r w:rsidRPr="005A55D8">
        <w:rPr>
          <w:lang w:val="it-IT"/>
        </w:rPr>
        <w:t>entemente abili nella scrittura, nella lettura</w:t>
      </w:r>
      <w:r w:rsidR="009B67C4">
        <w:rPr>
          <w:lang w:val="it-IT"/>
        </w:rPr>
        <w:t xml:space="preserve"> e</w:t>
      </w:r>
      <w:r w:rsidRPr="005A55D8">
        <w:rPr>
          <w:lang w:val="it-IT"/>
        </w:rPr>
        <w:t xml:space="preserve"> che abbiano </w:t>
      </w:r>
      <w:r w:rsidR="009B67C4">
        <w:rPr>
          <w:lang w:val="it-IT"/>
        </w:rPr>
        <w:t>seguito</w:t>
      </w:r>
      <w:r w:rsidRPr="005A55D8">
        <w:rPr>
          <w:lang w:val="it-IT"/>
        </w:rPr>
        <w:t xml:space="preserve"> un percorso scolastico che </w:t>
      </w:r>
      <w:r w:rsidR="00683484" w:rsidRPr="005A55D8">
        <w:rPr>
          <w:lang w:val="it-IT"/>
        </w:rPr>
        <w:t>abbia</w:t>
      </w:r>
      <w:r w:rsidRPr="005A55D8">
        <w:rPr>
          <w:lang w:val="it-IT"/>
        </w:rPr>
        <w:t xml:space="preserve"> fornito loro </w:t>
      </w:r>
      <w:r w:rsidR="00683484" w:rsidRPr="005A55D8">
        <w:rPr>
          <w:lang w:val="it-IT"/>
        </w:rPr>
        <w:t>dell</w:t>
      </w:r>
      <w:r w:rsidRPr="005A55D8">
        <w:rPr>
          <w:lang w:val="it-IT"/>
        </w:rPr>
        <w:t xml:space="preserve">e competenze di base. Si presume inoltre che abbiano familiarità con l'uso di dispositivi digitali mobili.  Chiedete al vostro gruppo di </w:t>
      </w:r>
      <w:r w:rsidR="00683484" w:rsidRPr="005A55D8">
        <w:rPr>
          <w:lang w:val="it-IT"/>
        </w:rPr>
        <w:t>studenti</w:t>
      </w:r>
      <w:r w:rsidRPr="005A55D8">
        <w:rPr>
          <w:lang w:val="it-IT"/>
        </w:rPr>
        <w:t xml:space="preserve"> di </w:t>
      </w:r>
      <w:r w:rsidR="00683484" w:rsidRPr="005A55D8">
        <w:rPr>
          <w:lang w:val="it-IT"/>
        </w:rPr>
        <w:t xml:space="preserve">poter </w:t>
      </w:r>
      <w:r w:rsidRPr="005A55D8">
        <w:rPr>
          <w:lang w:val="it-IT"/>
        </w:rPr>
        <w:t>conoscere quest</w:t>
      </w:r>
      <w:r w:rsidR="00683484" w:rsidRPr="005A55D8">
        <w:rPr>
          <w:lang w:val="it-IT"/>
        </w:rPr>
        <w:t>i aspetti</w:t>
      </w:r>
      <w:r w:rsidRPr="005A55D8">
        <w:rPr>
          <w:lang w:val="it-IT"/>
        </w:rPr>
        <w:t xml:space="preserve">, in modo da poter valutare meglio eventuali </w:t>
      </w:r>
      <w:r w:rsidR="00683484" w:rsidRPr="005A55D8">
        <w:rPr>
          <w:lang w:val="it-IT"/>
        </w:rPr>
        <w:t>problematicità</w:t>
      </w:r>
      <w:r w:rsidRPr="005A55D8">
        <w:rPr>
          <w:lang w:val="it-IT"/>
        </w:rPr>
        <w:t xml:space="preserve"> e adattare la formazione di conseguenza.</w:t>
      </w:r>
    </w:p>
    <w:p w14:paraId="6FD90CC7" w14:textId="77777777" w:rsidR="00D3767C" w:rsidRPr="005A55D8" w:rsidRDefault="00775C71">
      <w:pPr>
        <w:rPr>
          <w:lang w:val="it-IT"/>
        </w:rPr>
      </w:pPr>
      <w:r w:rsidRPr="005A55D8">
        <w:rPr>
          <w:lang w:val="it-IT"/>
        </w:rPr>
        <w:t xml:space="preserve">Ai fini della formazione è necessario che </w:t>
      </w:r>
      <w:r w:rsidR="00683484" w:rsidRPr="005A55D8">
        <w:rPr>
          <w:lang w:val="it-IT"/>
        </w:rPr>
        <w:t>gli studenti</w:t>
      </w:r>
      <w:r w:rsidRPr="005A55D8">
        <w:rPr>
          <w:lang w:val="it-IT"/>
        </w:rPr>
        <w:t xml:space="preserve"> abbiano accesso a uno strumento digitale, che può essere un telefono cellulare, un tablet o un PC.</w:t>
      </w:r>
    </w:p>
    <w:p w14:paraId="74CC2AE5" w14:textId="77777777" w:rsidR="00D3767C" w:rsidRPr="005A55D8" w:rsidRDefault="00683484">
      <w:pPr>
        <w:rPr>
          <w:lang w:val="it-IT"/>
        </w:rPr>
      </w:pPr>
      <w:r w:rsidRPr="005A55D8">
        <w:rPr>
          <w:lang w:val="it-IT"/>
        </w:rPr>
        <w:lastRenderedPageBreak/>
        <w:t>E’ importante i</w:t>
      </w:r>
      <w:r w:rsidR="00775C71" w:rsidRPr="005A55D8">
        <w:rPr>
          <w:lang w:val="it-IT"/>
        </w:rPr>
        <w:t xml:space="preserve">ncoraggiare la partecipazione attiva </w:t>
      </w:r>
      <w:r w:rsidRPr="005A55D8">
        <w:rPr>
          <w:lang w:val="it-IT"/>
        </w:rPr>
        <w:t xml:space="preserve">di tutti </w:t>
      </w:r>
      <w:r w:rsidR="00775C71" w:rsidRPr="005A55D8">
        <w:rPr>
          <w:lang w:val="it-IT"/>
        </w:rPr>
        <w:t>e prestare particolare attenzione a coloro che potrebbero non partecipare attivamente alla sessione</w:t>
      </w:r>
      <w:r w:rsidRPr="005A55D8">
        <w:rPr>
          <w:lang w:val="it-IT"/>
        </w:rPr>
        <w:t>: l</w:t>
      </w:r>
      <w:r w:rsidR="00775C71" w:rsidRPr="005A55D8">
        <w:rPr>
          <w:lang w:val="it-IT"/>
        </w:rPr>
        <w:t>e ragioni po</w:t>
      </w:r>
      <w:r w:rsidRPr="005A55D8">
        <w:rPr>
          <w:lang w:val="it-IT"/>
        </w:rPr>
        <w:t>trebbero</w:t>
      </w:r>
      <w:r w:rsidR="00775C71" w:rsidRPr="005A55D8">
        <w:rPr>
          <w:lang w:val="it-IT"/>
        </w:rPr>
        <w:t xml:space="preserve"> essere diverse, come la timidezza o la mancanza di competenze linguistiche. </w:t>
      </w:r>
    </w:p>
    <w:p w14:paraId="57969617" w14:textId="77777777" w:rsidR="00D3767C" w:rsidRPr="005A55D8" w:rsidRDefault="00775C71">
      <w:pPr>
        <w:rPr>
          <w:lang w:val="it-IT"/>
        </w:rPr>
      </w:pPr>
      <w:r w:rsidRPr="005A55D8">
        <w:rPr>
          <w:lang w:val="it-IT"/>
        </w:rPr>
        <w:t xml:space="preserve">Presentate le attività pratiche e formulate chiaramente le vostre aspettative di partecipazione attiva all'inizio, poiché questa formazione non si concentra </w:t>
      </w:r>
      <w:r w:rsidR="00F02935" w:rsidRPr="005A55D8">
        <w:rPr>
          <w:lang w:val="it-IT"/>
        </w:rPr>
        <w:t xml:space="preserve">solo </w:t>
      </w:r>
      <w:r w:rsidRPr="005A55D8">
        <w:rPr>
          <w:lang w:val="it-IT"/>
        </w:rPr>
        <w:t>sull'ascolto, ma sull'esercizio e sull'apprendimento attraverso il coinvolgimento attivo. Siate consapevoli che i vostri studenti potrebbero non avere familiarità con questo concetto didattico.</w:t>
      </w:r>
    </w:p>
    <w:p w14:paraId="4708D6C8" w14:textId="77777777" w:rsidR="00D3767C" w:rsidRPr="005A55D8" w:rsidRDefault="00775C71">
      <w:pPr>
        <w:pStyle w:val="2"/>
        <w:rPr>
          <w:lang w:val="it-IT"/>
        </w:rPr>
      </w:pPr>
      <w:bookmarkStart w:id="2" w:name="_Toc109999718"/>
      <w:r w:rsidRPr="005A55D8">
        <w:rPr>
          <w:lang w:val="it-IT"/>
        </w:rPr>
        <w:t xml:space="preserve">2.2 </w:t>
      </w:r>
      <w:r w:rsidRPr="005A55D8">
        <w:rPr>
          <w:color w:val="222222"/>
          <w:lang w:val="it-IT"/>
        </w:rPr>
        <w:t>Fattori di rischio per la salute in base alle diverse fasi della migrazione</w:t>
      </w:r>
      <w:bookmarkEnd w:id="2"/>
    </w:p>
    <w:p w14:paraId="39249C1C" w14:textId="77777777" w:rsidR="00F02935" w:rsidRPr="005A55D8" w:rsidRDefault="00F02935">
      <w:pPr>
        <w:pBdr>
          <w:top w:val="nil"/>
          <w:left w:val="nil"/>
          <w:bottom w:val="nil"/>
          <w:right w:val="nil"/>
          <w:between w:val="nil"/>
        </w:pBdr>
        <w:spacing w:after="0"/>
        <w:rPr>
          <w:color w:val="222222"/>
          <w:sz w:val="24"/>
          <w:szCs w:val="24"/>
          <w:lang w:val="it-IT"/>
        </w:rPr>
      </w:pPr>
    </w:p>
    <w:p w14:paraId="4C85B5C3" w14:textId="77777777" w:rsidR="00D3767C" w:rsidRPr="005A55D8" w:rsidRDefault="00775C71">
      <w:pPr>
        <w:pBdr>
          <w:top w:val="nil"/>
          <w:left w:val="nil"/>
          <w:bottom w:val="nil"/>
          <w:right w:val="nil"/>
          <w:between w:val="nil"/>
        </w:pBdr>
        <w:spacing w:after="0"/>
        <w:rPr>
          <w:color w:val="222222"/>
          <w:lang w:val="it-IT"/>
        </w:rPr>
      </w:pPr>
      <w:r w:rsidRPr="005A55D8">
        <w:rPr>
          <w:color w:val="222222"/>
          <w:lang w:val="it-IT"/>
        </w:rPr>
        <w:t>I rischi per la salute dei migranti si presentano in ogni fase del</w:t>
      </w:r>
      <w:r w:rsidR="00F02935" w:rsidRPr="005A55D8">
        <w:rPr>
          <w:color w:val="222222"/>
          <w:lang w:val="it-IT"/>
        </w:rPr>
        <w:t xml:space="preserve"> processo</w:t>
      </w:r>
      <w:r w:rsidRPr="005A55D8">
        <w:rPr>
          <w:color w:val="222222"/>
          <w:lang w:val="it-IT"/>
        </w:rPr>
        <w:t xml:space="preserve"> migra</w:t>
      </w:r>
      <w:r w:rsidR="00F02935" w:rsidRPr="005A55D8">
        <w:rPr>
          <w:color w:val="222222"/>
          <w:lang w:val="it-IT"/>
        </w:rPr>
        <w:t>torio</w:t>
      </w:r>
      <w:r w:rsidRPr="005A55D8">
        <w:rPr>
          <w:color w:val="222222"/>
          <w:lang w:val="it-IT"/>
        </w:rPr>
        <w:t xml:space="preserve">, a partire dal </w:t>
      </w:r>
      <w:r w:rsidR="00F02935" w:rsidRPr="005A55D8">
        <w:rPr>
          <w:color w:val="222222"/>
          <w:lang w:val="it-IT"/>
        </w:rPr>
        <w:t xml:space="preserve">momento della partenza dal </w:t>
      </w:r>
      <w:r w:rsidRPr="005A55D8">
        <w:rPr>
          <w:color w:val="222222"/>
          <w:lang w:val="it-IT"/>
        </w:rPr>
        <w:t xml:space="preserve">Paese di origine (soprattutto se si proviene da situazioni di instabilità </w:t>
      </w:r>
      <w:r w:rsidR="00F02935" w:rsidRPr="005A55D8">
        <w:rPr>
          <w:color w:val="222222"/>
          <w:lang w:val="it-IT"/>
        </w:rPr>
        <w:t xml:space="preserve">politica/sociale </w:t>
      </w:r>
      <w:r w:rsidRPr="005A55D8">
        <w:rPr>
          <w:color w:val="222222"/>
          <w:lang w:val="it-IT"/>
        </w:rPr>
        <w:t xml:space="preserve">o conflitti). Vari rischi possono emergere anche durante il viaggio e nel Paese di destinazione o di transito, ma anche </w:t>
      </w:r>
      <w:r w:rsidR="009B67C4">
        <w:rPr>
          <w:color w:val="222222"/>
          <w:lang w:val="it-IT"/>
        </w:rPr>
        <w:t xml:space="preserve">in eventuali </w:t>
      </w:r>
      <w:r w:rsidRPr="005A55D8">
        <w:rPr>
          <w:color w:val="222222"/>
          <w:lang w:val="it-IT"/>
        </w:rPr>
        <w:t>fas</w:t>
      </w:r>
      <w:r w:rsidR="009B67C4">
        <w:rPr>
          <w:color w:val="222222"/>
          <w:lang w:val="it-IT"/>
        </w:rPr>
        <w:t>i</w:t>
      </w:r>
      <w:r w:rsidRPr="005A55D8">
        <w:rPr>
          <w:color w:val="222222"/>
          <w:lang w:val="it-IT"/>
        </w:rPr>
        <w:t xml:space="preserve"> di </w:t>
      </w:r>
      <w:r w:rsidR="009B67C4">
        <w:rPr>
          <w:color w:val="222222"/>
          <w:lang w:val="it-IT"/>
        </w:rPr>
        <w:t>“</w:t>
      </w:r>
      <w:r w:rsidRPr="005A55D8">
        <w:rPr>
          <w:color w:val="222222"/>
          <w:lang w:val="it-IT"/>
        </w:rPr>
        <w:t>ricollocazione</w:t>
      </w:r>
      <w:r w:rsidR="009B67C4">
        <w:rPr>
          <w:color w:val="222222"/>
          <w:lang w:val="it-IT"/>
        </w:rPr>
        <w:t>”</w:t>
      </w:r>
      <w:r w:rsidRPr="005A55D8">
        <w:rPr>
          <w:color w:val="222222"/>
          <w:lang w:val="it-IT"/>
        </w:rPr>
        <w:t xml:space="preserve">. Pertanto chiedete ai partecipanti di riflettere sui vari rischi per la salute che possono derivare dal </w:t>
      </w:r>
      <w:r w:rsidR="00F02935" w:rsidRPr="005A55D8">
        <w:rPr>
          <w:color w:val="222222"/>
          <w:lang w:val="it-IT"/>
        </w:rPr>
        <w:t xml:space="preserve">processo </w:t>
      </w:r>
      <w:r w:rsidRPr="005A55D8">
        <w:rPr>
          <w:color w:val="222222"/>
          <w:lang w:val="it-IT"/>
        </w:rPr>
        <w:t>migra</w:t>
      </w:r>
      <w:r w:rsidR="00F02935" w:rsidRPr="005A55D8">
        <w:rPr>
          <w:color w:val="222222"/>
          <w:lang w:val="it-IT"/>
        </w:rPr>
        <w:t>torio</w:t>
      </w:r>
      <w:r w:rsidRPr="005A55D8">
        <w:rPr>
          <w:color w:val="222222"/>
          <w:lang w:val="it-IT"/>
        </w:rPr>
        <w:t xml:space="preserve">, senza </w:t>
      </w:r>
      <w:r w:rsidR="00F02935" w:rsidRPr="005A55D8">
        <w:rPr>
          <w:color w:val="222222"/>
          <w:lang w:val="it-IT"/>
        </w:rPr>
        <w:t xml:space="preserve">necessariamente </w:t>
      </w:r>
      <w:r w:rsidRPr="005A55D8">
        <w:rPr>
          <w:color w:val="222222"/>
          <w:lang w:val="it-IT"/>
        </w:rPr>
        <w:t>definire le fasi</w:t>
      </w:r>
      <w:r w:rsidR="00F02935" w:rsidRPr="005A55D8">
        <w:rPr>
          <w:color w:val="222222"/>
          <w:lang w:val="it-IT"/>
        </w:rPr>
        <w:t xml:space="preserve"> a priori</w:t>
      </w:r>
      <w:r w:rsidRPr="005A55D8">
        <w:rPr>
          <w:color w:val="222222"/>
          <w:lang w:val="it-IT"/>
        </w:rPr>
        <w:t xml:space="preserve">. Nel materiale formativo si chiede ai partecipanti di annotare le loro esperienze in base alle </w:t>
      </w:r>
      <w:r w:rsidR="00F02935" w:rsidRPr="005A55D8">
        <w:rPr>
          <w:color w:val="222222"/>
          <w:lang w:val="it-IT"/>
        </w:rPr>
        <w:t xml:space="preserve">diverse </w:t>
      </w:r>
      <w:r w:rsidRPr="005A55D8">
        <w:rPr>
          <w:color w:val="222222"/>
          <w:lang w:val="it-IT"/>
        </w:rPr>
        <w:t>fasi</w:t>
      </w:r>
      <w:r w:rsidR="00F02935" w:rsidRPr="005A55D8">
        <w:rPr>
          <w:color w:val="222222"/>
          <w:lang w:val="it-IT"/>
        </w:rPr>
        <w:t xml:space="preserve"> del percorso migratorio</w:t>
      </w:r>
      <w:r w:rsidRPr="005A55D8">
        <w:rPr>
          <w:color w:val="222222"/>
          <w:lang w:val="it-IT"/>
        </w:rPr>
        <w:t>. Lasciate che utilizzino lavagne a fogli mobili o bacheche per annotare tutto ciò che potrebbero trovare interessante. Si suggerisce di mostrare il video introduttivo incluso, seguito da una spiegazione dettagliata dei rischi per la salute in base alle fasi</w:t>
      </w:r>
      <w:r w:rsidR="00F02935" w:rsidRPr="005A55D8">
        <w:rPr>
          <w:color w:val="222222"/>
          <w:lang w:val="it-IT"/>
        </w:rPr>
        <w:t xml:space="preserve"> descritte</w:t>
      </w:r>
      <w:r w:rsidRPr="005A55D8">
        <w:rPr>
          <w:color w:val="222222"/>
          <w:lang w:val="it-IT"/>
        </w:rPr>
        <w:t xml:space="preserve">. </w:t>
      </w:r>
    </w:p>
    <w:p w14:paraId="409AE0A4" w14:textId="77777777" w:rsidR="00D3767C" w:rsidRPr="005A55D8" w:rsidRDefault="00D3767C">
      <w:pPr>
        <w:pBdr>
          <w:top w:val="nil"/>
          <w:left w:val="nil"/>
          <w:bottom w:val="nil"/>
          <w:right w:val="nil"/>
          <w:between w:val="nil"/>
        </w:pBdr>
        <w:spacing w:after="0"/>
        <w:rPr>
          <w:color w:val="222222"/>
          <w:lang w:val="it-IT"/>
        </w:rPr>
      </w:pPr>
    </w:p>
    <w:p w14:paraId="10A8D583" w14:textId="77777777" w:rsidR="00D3767C" w:rsidRPr="005A55D8" w:rsidRDefault="00F02935">
      <w:pPr>
        <w:pBdr>
          <w:top w:val="nil"/>
          <w:left w:val="nil"/>
          <w:bottom w:val="nil"/>
          <w:right w:val="nil"/>
          <w:between w:val="nil"/>
        </w:pBdr>
        <w:spacing w:after="0"/>
        <w:rPr>
          <w:color w:val="222222"/>
          <w:lang w:val="it-IT"/>
        </w:rPr>
      </w:pPr>
      <w:r w:rsidRPr="005A55D8">
        <w:rPr>
          <w:color w:val="222222"/>
          <w:lang w:val="it-IT"/>
        </w:rPr>
        <w:t>Le esercitazioni in ambito</w:t>
      </w:r>
      <w:r w:rsidR="00775C71" w:rsidRPr="005A55D8">
        <w:rPr>
          <w:color w:val="222222"/>
          <w:lang w:val="it-IT"/>
        </w:rPr>
        <w:t xml:space="preserve"> digital</w:t>
      </w:r>
      <w:r w:rsidRPr="005A55D8">
        <w:rPr>
          <w:color w:val="222222"/>
          <w:lang w:val="it-IT"/>
        </w:rPr>
        <w:t>e</w:t>
      </w:r>
      <w:r w:rsidR="00775C71" w:rsidRPr="005A55D8">
        <w:rPr>
          <w:color w:val="222222"/>
          <w:lang w:val="it-IT"/>
        </w:rPr>
        <w:t xml:space="preserve"> sono direttamente collegat</w:t>
      </w:r>
      <w:r w:rsidRPr="005A55D8">
        <w:rPr>
          <w:color w:val="222222"/>
          <w:lang w:val="it-IT"/>
        </w:rPr>
        <w:t>e</w:t>
      </w:r>
      <w:r w:rsidR="00775C71" w:rsidRPr="005A55D8">
        <w:rPr>
          <w:color w:val="222222"/>
          <w:lang w:val="it-IT"/>
        </w:rPr>
        <w:t xml:space="preserve"> a questa parte della formazione e </w:t>
      </w:r>
      <w:r w:rsidRPr="005A55D8">
        <w:rPr>
          <w:color w:val="222222"/>
          <w:lang w:val="it-IT"/>
        </w:rPr>
        <w:t>gli studenti</w:t>
      </w:r>
      <w:r w:rsidR="00775C71" w:rsidRPr="005A55D8">
        <w:rPr>
          <w:color w:val="222222"/>
          <w:lang w:val="it-IT"/>
        </w:rPr>
        <w:t xml:space="preserve"> sono invitati a creare la propria guida tascabile sui temi della salute</w:t>
      </w:r>
      <w:r w:rsidRPr="005A55D8">
        <w:rPr>
          <w:color w:val="222222"/>
          <w:lang w:val="it-IT"/>
        </w:rPr>
        <w:t>,</w:t>
      </w:r>
      <w:r w:rsidR="00775C71" w:rsidRPr="005A55D8">
        <w:rPr>
          <w:color w:val="222222"/>
          <w:lang w:val="it-IT"/>
        </w:rPr>
        <w:t xml:space="preserve"> in base alle loro esigenze e ai loro interessi. Attraverso la piattaforma di formazione potrete controllare i compiti svolti e rimanere in contatto con i partecipanti.</w:t>
      </w:r>
    </w:p>
    <w:p w14:paraId="3813C594" w14:textId="77777777" w:rsidR="00D3767C" w:rsidRPr="005A55D8" w:rsidRDefault="00D3767C">
      <w:pPr>
        <w:pBdr>
          <w:top w:val="nil"/>
          <w:left w:val="nil"/>
          <w:bottom w:val="nil"/>
          <w:right w:val="nil"/>
          <w:between w:val="nil"/>
        </w:pBdr>
        <w:spacing w:after="0"/>
        <w:rPr>
          <w:color w:val="222222"/>
          <w:sz w:val="24"/>
          <w:szCs w:val="24"/>
          <w:lang w:val="it-IT"/>
        </w:rPr>
      </w:pPr>
    </w:p>
    <w:p w14:paraId="698F8113" w14:textId="77777777" w:rsidR="00D3767C" w:rsidRPr="005A55D8" w:rsidRDefault="00775C71">
      <w:pPr>
        <w:pStyle w:val="2"/>
        <w:rPr>
          <w:lang w:val="it-IT"/>
        </w:rPr>
      </w:pPr>
      <w:bookmarkStart w:id="3" w:name="_Toc109999719"/>
      <w:r w:rsidRPr="005A55D8">
        <w:rPr>
          <w:lang w:val="it-IT"/>
        </w:rPr>
        <w:t>2.3 Esplorare la salute fisica e mentale dei migranti</w:t>
      </w:r>
      <w:bookmarkEnd w:id="3"/>
    </w:p>
    <w:p w14:paraId="4157AC97" w14:textId="77777777" w:rsidR="00D3767C" w:rsidRPr="005A55D8" w:rsidRDefault="00D3767C">
      <w:pPr>
        <w:pBdr>
          <w:top w:val="nil"/>
          <w:left w:val="nil"/>
          <w:bottom w:val="nil"/>
          <w:right w:val="nil"/>
          <w:between w:val="nil"/>
        </w:pBdr>
        <w:spacing w:after="0"/>
        <w:rPr>
          <w:color w:val="222222"/>
          <w:sz w:val="24"/>
          <w:szCs w:val="24"/>
          <w:lang w:val="it-IT"/>
        </w:rPr>
      </w:pPr>
    </w:p>
    <w:p w14:paraId="5B84EBE7" w14:textId="77777777" w:rsidR="00D3767C" w:rsidRPr="005A55D8" w:rsidRDefault="00775C71">
      <w:pPr>
        <w:pBdr>
          <w:top w:val="nil"/>
          <w:left w:val="nil"/>
          <w:bottom w:val="nil"/>
          <w:right w:val="nil"/>
          <w:between w:val="nil"/>
        </w:pBdr>
        <w:spacing w:after="0"/>
        <w:rPr>
          <w:color w:val="222222"/>
          <w:lang w:val="it-IT"/>
        </w:rPr>
      </w:pPr>
      <w:r w:rsidRPr="005A55D8">
        <w:rPr>
          <w:color w:val="222222"/>
          <w:lang w:val="it-IT"/>
        </w:rPr>
        <w:t>Le p</w:t>
      </w:r>
      <w:r w:rsidR="009B67C4">
        <w:rPr>
          <w:color w:val="222222"/>
          <w:lang w:val="it-IT"/>
        </w:rPr>
        <w:t>ersone</w:t>
      </w:r>
      <w:r w:rsidRPr="005A55D8">
        <w:rPr>
          <w:color w:val="222222"/>
          <w:lang w:val="it-IT"/>
        </w:rPr>
        <w:t xml:space="preserve"> migranti </w:t>
      </w:r>
      <w:r w:rsidR="009B67C4">
        <w:rPr>
          <w:color w:val="222222"/>
          <w:lang w:val="it-IT"/>
        </w:rPr>
        <w:t xml:space="preserve">possono incorrere in </w:t>
      </w:r>
      <w:r w:rsidRPr="005A55D8">
        <w:rPr>
          <w:color w:val="222222"/>
          <w:lang w:val="it-IT"/>
        </w:rPr>
        <w:t xml:space="preserve">specifici problemi di salute fisica e mentale. Durante la formazione i partecipanti saranno introdotti ai sintomi dei problemi di salute e di salute mentale che </w:t>
      </w:r>
      <w:r w:rsidRPr="005A55D8">
        <w:rPr>
          <w:color w:val="222222"/>
          <w:lang w:val="it-IT"/>
        </w:rPr>
        <w:lastRenderedPageBreak/>
        <w:t>sono più diffusi nell</w:t>
      </w:r>
      <w:r w:rsidR="009B67C4">
        <w:rPr>
          <w:color w:val="222222"/>
          <w:lang w:val="it-IT"/>
        </w:rPr>
        <w:t>e comunità di persone migranti</w:t>
      </w:r>
      <w:r w:rsidRPr="005A55D8">
        <w:rPr>
          <w:color w:val="222222"/>
          <w:lang w:val="it-IT"/>
        </w:rPr>
        <w:t xml:space="preserve">. In seguito faciliterete una discussione di gruppo, esplorando le narrazioni </w:t>
      </w:r>
      <w:r w:rsidR="00F02935" w:rsidRPr="005A55D8">
        <w:rPr>
          <w:color w:val="222222"/>
          <w:lang w:val="it-IT"/>
        </w:rPr>
        <w:t>sulla</w:t>
      </w:r>
      <w:r w:rsidRPr="005A55D8">
        <w:rPr>
          <w:color w:val="222222"/>
          <w:lang w:val="it-IT"/>
        </w:rPr>
        <w:t xml:space="preserve"> malattia d</w:t>
      </w:r>
      <w:r w:rsidR="00F02935" w:rsidRPr="005A55D8">
        <w:rPr>
          <w:color w:val="222222"/>
          <w:lang w:val="it-IT"/>
        </w:rPr>
        <w:t>a parte dei</w:t>
      </w:r>
      <w:r w:rsidRPr="005A55D8">
        <w:rPr>
          <w:color w:val="222222"/>
          <w:lang w:val="it-IT"/>
        </w:rPr>
        <w:t xml:space="preserve"> partecipanti, con l'obiettivo di superare le barriere culturali che possono influenzare l'alfabetizzazione sanitaria. </w:t>
      </w:r>
    </w:p>
    <w:p w14:paraId="155AEEF6" w14:textId="77777777" w:rsidR="00F02935" w:rsidRPr="005A55D8" w:rsidRDefault="00775C71">
      <w:pPr>
        <w:pBdr>
          <w:top w:val="nil"/>
          <w:left w:val="nil"/>
          <w:bottom w:val="nil"/>
          <w:right w:val="nil"/>
          <w:between w:val="nil"/>
        </w:pBdr>
        <w:spacing w:after="0"/>
        <w:rPr>
          <w:color w:val="222222"/>
          <w:lang w:val="it-IT"/>
        </w:rPr>
      </w:pPr>
      <w:r w:rsidRPr="005A55D8">
        <w:rPr>
          <w:color w:val="222222"/>
          <w:lang w:val="it-IT"/>
        </w:rPr>
        <w:t xml:space="preserve">La percezione della malattia e il modo in cui viene affrontata possono essere molto diversi a seconda del background culturale. I sintomi delle malattie sono interpretati in modo diverso e anche </w:t>
      </w:r>
      <w:r w:rsidR="00F02935" w:rsidRPr="005A55D8">
        <w:rPr>
          <w:color w:val="222222"/>
          <w:lang w:val="it-IT"/>
        </w:rPr>
        <w:t>la percezione de</w:t>
      </w:r>
      <w:r w:rsidRPr="005A55D8">
        <w:rPr>
          <w:color w:val="222222"/>
          <w:lang w:val="it-IT"/>
        </w:rPr>
        <w:t>l momento in cui è necessario un aiuto medico può variare</w:t>
      </w:r>
      <w:r w:rsidR="00F02935" w:rsidRPr="005A55D8">
        <w:rPr>
          <w:color w:val="222222"/>
          <w:lang w:val="it-IT"/>
        </w:rPr>
        <w:t xml:space="preserve"> in base a queste interpretazioni</w:t>
      </w:r>
      <w:r w:rsidRPr="005A55D8">
        <w:rPr>
          <w:color w:val="222222"/>
          <w:lang w:val="it-IT"/>
        </w:rPr>
        <w:t xml:space="preserve">. La valutazione di quando i </w:t>
      </w:r>
      <w:r w:rsidR="00F02935" w:rsidRPr="005A55D8">
        <w:rPr>
          <w:color w:val="222222"/>
          <w:lang w:val="it-IT"/>
        </w:rPr>
        <w:t>“</w:t>
      </w:r>
      <w:r w:rsidRPr="005A55D8">
        <w:rPr>
          <w:color w:val="222222"/>
          <w:lang w:val="it-IT"/>
        </w:rPr>
        <w:t>rimedi casalinghi</w:t>
      </w:r>
      <w:r w:rsidR="00F02935" w:rsidRPr="005A55D8">
        <w:rPr>
          <w:color w:val="222222"/>
          <w:lang w:val="it-IT"/>
        </w:rPr>
        <w:t>”</w:t>
      </w:r>
      <w:r w:rsidRPr="005A55D8">
        <w:rPr>
          <w:color w:val="222222"/>
          <w:lang w:val="it-IT"/>
        </w:rPr>
        <w:t xml:space="preserve"> sono sufficienti e quando è necessario consultare un medico può essere diversa a </w:t>
      </w:r>
      <w:r w:rsidR="009251FC" w:rsidRPr="005A55D8">
        <w:rPr>
          <w:color w:val="222222"/>
          <w:lang w:val="it-IT"/>
        </w:rPr>
        <w:t>seconda di fattori culturali.</w:t>
      </w:r>
      <w:r w:rsidRPr="005A55D8">
        <w:rPr>
          <w:color w:val="222222"/>
          <w:lang w:val="it-IT"/>
        </w:rPr>
        <w:t xml:space="preserve"> </w:t>
      </w:r>
    </w:p>
    <w:p w14:paraId="5C8E1860" w14:textId="77777777" w:rsidR="00D3767C" w:rsidRPr="005A55D8" w:rsidRDefault="009251FC">
      <w:pPr>
        <w:pBdr>
          <w:top w:val="nil"/>
          <w:left w:val="nil"/>
          <w:bottom w:val="nil"/>
          <w:right w:val="nil"/>
          <w:between w:val="nil"/>
        </w:pBdr>
        <w:spacing w:after="0"/>
        <w:rPr>
          <w:color w:val="222222"/>
          <w:lang w:val="it-IT"/>
        </w:rPr>
      </w:pPr>
      <w:r w:rsidRPr="005A55D8">
        <w:rPr>
          <w:color w:val="222222"/>
          <w:lang w:val="it-IT"/>
        </w:rPr>
        <w:t>L</w:t>
      </w:r>
      <w:r w:rsidR="00775C71" w:rsidRPr="005A55D8">
        <w:rPr>
          <w:color w:val="222222"/>
          <w:lang w:val="it-IT"/>
        </w:rPr>
        <w:t xml:space="preserve">a comunicazione delle malattie varia: </w:t>
      </w:r>
      <w:r w:rsidR="00F02935" w:rsidRPr="005A55D8">
        <w:rPr>
          <w:color w:val="222222"/>
          <w:lang w:val="it-IT"/>
        </w:rPr>
        <w:t>c</w:t>
      </w:r>
      <w:r w:rsidR="00775C71" w:rsidRPr="005A55D8">
        <w:rPr>
          <w:color w:val="222222"/>
          <w:lang w:val="it-IT"/>
        </w:rPr>
        <w:t xml:space="preserve">i sono malattie che vengono condivise con gli amici e altre che vengono trattate come tabù. Anche il processo di recupero è soggetto a caratteristiche diverse: ad esempio, una persona malata si ritira dalla vita familiare o la famiglia svolge un ruolo nel </w:t>
      </w:r>
      <w:r w:rsidR="00F02935" w:rsidRPr="005A55D8">
        <w:rPr>
          <w:color w:val="222222"/>
          <w:lang w:val="it-IT"/>
        </w:rPr>
        <w:t>percorso terapeutico</w:t>
      </w:r>
      <w:r w:rsidR="00775C71" w:rsidRPr="005A55D8">
        <w:rPr>
          <w:color w:val="222222"/>
          <w:lang w:val="it-IT"/>
        </w:rPr>
        <w:t>? Che ruolo ha</w:t>
      </w:r>
      <w:r w:rsidR="00F02935" w:rsidRPr="005A55D8">
        <w:rPr>
          <w:color w:val="222222"/>
          <w:lang w:val="it-IT"/>
        </w:rPr>
        <w:t>nno le informazioni ricercate</w:t>
      </w:r>
      <w:r w:rsidR="00775C71" w:rsidRPr="005A55D8">
        <w:rPr>
          <w:color w:val="222222"/>
          <w:lang w:val="it-IT"/>
        </w:rPr>
        <w:t xml:space="preserve"> </w:t>
      </w:r>
      <w:r w:rsidR="00F02935" w:rsidRPr="005A55D8">
        <w:rPr>
          <w:color w:val="222222"/>
          <w:lang w:val="it-IT"/>
        </w:rPr>
        <w:t xml:space="preserve">in ambito </w:t>
      </w:r>
      <w:r w:rsidR="00775C71" w:rsidRPr="005A55D8">
        <w:rPr>
          <w:color w:val="222222"/>
          <w:lang w:val="it-IT"/>
        </w:rPr>
        <w:t>digitale e come ven</w:t>
      </w:r>
      <w:r w:rsidR="00F02935" w:rsidRPr="005A55D8">
        <w:rPr>
          <w:color w:val="222222"/>
          <w:lang w:val="it-IT"/>
        </w:rPr>
        <w:t>gono</w:t>
      </w:r>
      <w:r w:rsidR="00775C71" w:rsidRPr="005A55D8">
        <w:rPr>
          <w:color w:val="222222"/>
          <w:lang w:val="it-IT"/>
        </w:rPr>
        <w:t xml:space="preserve"> utilizzat</w:t>
      </w:r>
      <w:r w:rsidR="00F02935" w:rsidRPr="005A55D8">
        <w:rPr>
          <w:color w:val="222222"/>
          <w:lang w:val="it-IT"/>
        </w:rPr>
        <w:t>e</w:t>
      </w:r>
      <w:r w:rsidR="00775C71" w:rsidRPr="005A55D8">
        <w:rPr>
          <w:color w:val="222222"/>
          <w:lang w:val="it-IT"/>
        </w:rPr>
        <w:t xml:space="preserve">? Per la vostra preparazione vi suggeriamo di cercare </w:t>
      </w:r>
      <w:r w:rsidR="00F02935" w:rsidRPr="005A55D8">
        <w:rPr>
          <w:color w:val="222222"/>
          <w:lang w:val="it-IT"/>
        </w:rPr>
        <w:t xml:space="preserve">un confronto con </w:t>
      </w:r>
      <w:r w:rsidR="00775C71" w:rsidRPr="005A55D8">
        <w:rPr>
          <w:color w:val="222222"/>
          <w:lang w:val="it-IT"/>
        </w:rPr>
        <w:t xml:space="preserve">colleghi o </w:t>
      </w:r>
      <w:r w:rsidR="00F02935" w:rsidRPr="005A55D8">
        <w:rPr>
          <w:color w:val="222222"/>
          <w:lang w:val="it-IT"/>
        </w:rPr>
        <w:t xml:space="preserve">persone che già lavorano in ambito di </w:t>
      </w:r>
      <w:r w:rsidR="00775C71" w:rsidRPr="005A55D8">
        <w:rPr>
          <w:color w:val="222222"/>
          <w:lang w:val="it-IT"/>
        </w:rPr>
        <w:t xml:space="preserve">supporto </w:t>
      </w:r>
      <w:r w:rsidR="00F02935" w:rsidRPr="005A55D8">
        <w:rPr>
          <w:color w:val="222222"/>
          <w:lang w:val="it-IT"/>
        </w:rPr>
        <w:t>alle persone immigrate.</w:t>
      </w:r>
    </w:p>
    <w:p w14:paraId="5249FFE1" w14:textId="77777777" w:rsidR="00D3767C" w:rsidRPr="005A55D8" w:rsidRDefault="00D3767C">
      <w:pPr>
        <w:pBdr>
          <w:top w:val="nil"/>
          <w:left w:val="nil"/>
          <w:bottom w:val="nil"/>
          <w:right w:val="nil"/>
          <w:between w:val="nil"/>
        </w:pBdr>
        <w:spacing w:after="0"/>
        <w:rPr>
          <w:color w:val="222222"/>
          <w:lang w:val="it-IT"/>
        </w:rPr>
      </w:pPr>
    </w:p>
    <w:p w14:paraId="7BEA2EE1" w14:textId="77777777" w:rsidR="00D3767C" w:rsidRPr="005A55D8" w:rsidRDefault="00775C71">
      <w:pPr>
        <w:pBdr>
          <w:top w:val="nil"/>
          <w:left w:val="nil"/>
          <w:bottom w:val="nil"/>
          <w:right w:val="nil"/>
          <w:between w:val="nil"/>
        </w:pBdr>
        <w:spacing w:after="0"/>
        <w:rPr>
          <w:color w:val="222222"/>
          <w:lang w:val="it-IT"/>
        </w:rPr>
      </w:pPr>
      <w:r w:rsidRPr="005A55D8">
        <w:rPr>
          <w:color w:val="222222"/>
          <w:lang w:val="it-IT"/>
        </w:rPr>
        <w:t>Secondo l'Organizzazione Mondiale della Sanità</w:t>
      </w:r>
      <w:r w:rsidR="009251FC" w:rsidRPr="005A55D8">
        <w:rPr>
          <w:color w:val="222222"/>
          <w:lang w:val="it-IT"/>
        </w:rPr>
        <w:t xml:space="preserve"> alcune</w:t>
      </w:r>
      <w:r w:rsidRPr="005A55D8">
        <w:rPr>
          <w:color w:val="222222"/>
          <w:lang w:val="it-IT"/>
        </w:rPr>
        <w:t xml:space="preserve"> malattie infettive come la tubercolosi, l'infezione da HIV</w:t>
      </w:r>
      <w:r w:rsidR="009251FC" w:rsidRPr="005A55D8">
        <w:rPr>
          <w:color w:val="222222"/>
          <w:lang w:val="it-IT"/>
        </w:rPr>
        <w:t>,</w:t>
      </w:r>
      <w:r w:rsidRPr="005A55D8">
        <w:rPr>
          <w:color w:val="222222"/>
          <w:lang w:val="it-IT"/>
        </w:rPr>
        <w:t xml:space="preserve"> l'epatite virale, le malattie respiratorie </w:t>
      </w:r>
      <w:r w:rsidR="0066247A" w:rsidRPr="005A55D8">
        <w:rPr>
          <w:color w:val="222222"/>
          <w:lang w:val="it-IT"/>
        </w:rPr>
        <w:t xml:space="preserve">possono essere </w:t>
      </w:r>
      <w:r w:rsidRPr="005A55D8">
        <w:rPr>
          <w:color w:val="222222"/>
          <w:lang w:val="it-IT"/>
        </w:rPr>
        <w:t xml:space="preserve">più comuni nelle comunità di migranti. Le seguenti malattie sono osservate </w:t>
      </w:r>
      <w:r w:rsidR="0066247A" w:rsidRPr="005A55D8">
        <w:rPr>
          <w:color w:val="222222"/>
          <w:lang w:val="it-IT"/>
        </w:rPr>
        <w:t xml:space="preserve">invece </w:t>
      </w:r>
      <w:r w:rsidRPr="005A55D8">
        <w:rPr>
          <w:color w:val="222222"/>
          <w:lang w:val="it-IT"/>
        </w:rPr>
        <w:t>in modo sproporzionato: malattie cardiovascolari, diabete, cancro e malattie polmonari croniche</w:t>
      </w:r>
      <w:r w:rsidR="0066247A" w:rsidRPr="005A55D8">
        <w:rPr>
          <w:color w:val="222222"/>
          <w:lang w:val="it-IT"/>
        </w:rPr>
        <w:t>;</w:t>
      </w:r>
      <w:r w:rsidRPr="005A55D8">
        <w:rPr>
          <w:color w:val="222222"/>
          <w:lang w:val="it-IT"/>
        </w:rPr>
        <w:t xml:space="preserve"> molte d</w:t>
      </w:r>
      <w:r w:rsidR="0066247A" w:rsidRPr="005A55D8">
        <w:rPr>
          <w:color w:val="222222"/>
          <w:lang w:val="it-IT"/>
        </w:rPr>
        <w:t>i queste</w:t>
      </w:r>
      <w:r w:rsidRPr="005A55D8">
        <w:rPr>
          <w:color w:val="222222"/>
          <w:lang w:val="it-IT"/>
        </w:rPr>
        <w:t xml:space="preserve"> richiedono un'assistenza continua per un lungo periodo, spesso per tutta la vita. Probabilmente i vostri studenti sono a conoscenza delle malattie che si manifestano più frequentemente, ma non sempre è chiaro come affrontarle per massimizzare le possibilità di guarigione. Inoltre, spesso non è chiaro quando l'assistenza medica e i farmaci sono assolutamente necessari per alleviare i sintomi ed evitare </w:t>
      </w:r>
      <w:r w:rsidR="0066247A" w:rsidRPr="005A55D8">
        <w:rPr>
          <w:color w:val="222222"/>
          <w:lang w:val="it-IT"/>
        </w:rPr>
        <w:t xml:space="preserve">rischi per </w:t>
      </w:r>
      <w:r w:rsidRPr="005A55D8">
        <w:rPr>
          <w:color w:val="222222"/>
          <w:lang w:val="it-IT"/>
        </w:rPr>
        <w:t>la salute. Anche la sensibilizzazione su questo aspetto è un obiettivo della vostra formazione.</w:t>
      </w:r>
    </w:p>
    <w:p w14:paraId="62156D44" w14:textId="77777777" w:rsidR="00D3767C" w:rsidRPr="005A55D8" w:rsidRDefault="00D3767C">
      <w:pPr>
        <w:pBdr>
          <w:top w:val="nil"/>
          <w:left w:val="nil"/>
          <w:bottom w:val="nil"/>
          <w:right w:val="nil"/>
          <w:between w:val="nil"/>
        </w:pBdr>
        <w:spacing w:after="0"/>
        <w:rPr>
          <w:color w:val="222222"/>
          <w:lang w:val="it-IT"/>
        </w:rPr>
      </w:pPr>
    </w:p>
    <w:p w14:paraId="6B0DA989" w14:textId="77777777" w:rsidR="00D3767C" w:rsidRPr="005A55D8" w:rsidRDefault="00775C71">
      <w:pPr>
        <w:pBdr>
          <w:top w:val="nil"/>
          <w:left w:val="nil"/>
          <w:bottom w:val="nil"/>
          <w:right w:val="nil"/>
          <w:between w:val="nil"/>
        </w:pBdr>
        <w:spacing w:after="0"/>
        <w:rPr>
          <w:color w:val="222222"/>
          <w:lang w:val="it-IT"/>
        </w:rPr>
      </w:pPr>
      <w:r w:rsidRPr="005A55D8">
        <w:rPr>
          <w:color w:val="222222"/>
          <w:lang w:val="it-IT"/>
        </w:rPr>
        <w:t xml:space="preserve">Suggerire azioni specifiche per la salute è </w:t>
      </w:r>
      <w:r w:rsidR="0066247A" w:rsidRPr="005A55D8">
        <w:rPr>
          <w:color w:val="222222"/>
          <w:lang w:val="it-IT"/>
        </w:rPr>
        <w:t xml:space="preserve">sempre </w:t>
      </w:r>
      <w:r w:rsidRPr="005A55D8">
        <w:rPr>
          <w:color w:val="222222"/>
          <w:lang w:val="it-IT"/>
        </w:rPr>
        <w:t xml:space="preserve">compito di un medico, ma è necessario </w:t>
      </w:r>
      <w:r w:rsidR="0066247A" w:rsidRPr="005A55D8">
        <w:rPr>
          <w:color w:val="222222"/>
          <w:lang w:val="it-IT"/>
        </w:rPr>
        <w:t>sottolineare come</w:t>
      </w:r>
      <w:r w:rsidRPr="005A55D8">
        <w:rPr>
          <w:color w:val="222222"/>
          <w:lang w:val="it-IT"/>
        </w:rPr>
        <w:t xml:space="preserve"> le cure mediche poss</w:t>
      </w:r>
      <w:r w:rsidR="0066247A" w:rsidRPr="005A55D8">
        <w:rPr>
          <w:color w:val="222222"/>
          <w:lang w:val="it-IT"/>
        </w:rPr>
        <w:t>a</w:t>
      </w:r>
      <w:r w:rsidRPr="005A55D8">
        <w:rPr>
          <w:color w:val="222222"/>
          <w:lang w:val="it-IT"/>
        </w:rPr>
        <w:t>no essere fornite in diversi</w:t>
      </w:r>
      <w:r w:rsidR="0066247A" w:rsidRPr="005A55D8">
        <w:rPr>
          <w:color w:val="222222"/>
          <w:lang w:val="it-IT"/>
        </w:rPr>
        <w:t xml:space="preserve"> contesti</w:t>
      </w:r>
      <w:r w:rsidRPr="005A55D8">
        <w:rPr>
          <w:color w:val="222222"/>
          <w:lang w:val="it-IT"/>
        </w:rPr>
        <w:t>: in farmacia, in uno studio medico, da un medico che visita una persona malata a casa, in un pronto soccorso ospedaliero e in</w:t>
      </w:r>
      <w:r w:rsidR="0066247A" w:rsidRPr="005A55D8">
        <w:rPr>
          <w:color w:val="222222"/>
          <w:lang w:val="it-IT"/>
        </w:rPr>
        <w:t xml:space="preserve">fine anche nell’ambiente </w:t>
      </w:r>
      <w:r w:rsidRPr="005A55D8">
        <w:rPr>
          <w:color w:val="222222"/>
          <w:lang w:val="it-IT"/>
        </w:rPr>
        <w:t xml:space="preserve">digitale.  Gli studenti devono sapere che sempre più medici offrono anche </w:t>
      </w:r>
      <w:r w:rsidR="0066247A" w:rsidRPr="005A55D8">
        <w:rPr>
          <w:color w:val="222222"/>
          <w:lang w:val="it-IT"/>
        </w:rPr>
        <w:t>consulti</w:t>
      </w:r>
      <w:r w:rsidRPr="005A55D8">
        <w:rPr>
          <w:color w:val="222222"/>
          <w:lang w:val="it-IT"/>
        </w:rPr>
        <w:t xml:space="preserve"> digitali, </w:t>
      </w:r>
      <w:r w:rsidR="0066247A" w:rsidRPr="005A55D8">
        <w:rPr>
          <w:color w:val="222222"/>
          <w:lang w:val="it-IT"/>
        </w:rPr>
        <w:t xml:space="preserve">la cosiddetta telemedicina, </w:t>
      </w:r>
      <w:r w:rsidRPr="005A55D8">
        <w:rPr>
          <w:color w:val="222222"/>
          <w:lang w:val="it-IT"/>
        </w:rPr>
        <w:t xml:space="preserve">soprattutto in caso di pandemia. Tuttavia ci sono dei prerequisiti per farlo e di norma il medico deve </w:t>
      </w:r>
      <w:r w:rsidR="0066247A" w:rsidRPr="005A55D8">
        <w:rPr>
          <w:color w:val="222222"/>
          <w:lang w:val="it-IT"/>
        </w:rPr>
        <w:t xml:space="preserve">aver potuto </w:t>
      </w:r>
      <w:r w:rsidRPr="005A55D8">
        <w:rPr>
          <w:color w:val="222222"/>
          <w:lang w:val="it-IT"/>
        </w:rPr>
        <w:t xml:space="preserve">registrare </w:t>
      </w:r>
      <w:r w:rsidR="0066247A" w:rsidRPr="005A55D8">
        <w:rPr>
          <w:color w:val="222222"/>
          <w:lang w:val="it-IT"/>
        </w:rPr>
        <w:t>precedentemente lo</w:t>
      </w:r>
      <w:r w:rsidRPr="005A55D8">
        <w:rPr>
          <w:color w:val="222222"/>
          <w:lang w:val="it-IT"/>
        </w:rPr>
        <w:t xml:space="preserve"> stato di salute </w:t>
      </w:r>
      <w:r w:rsidR="0066247A" w:rsidRPr="005A55D8">
        <w:rPr>
          <w:color w:val="222222"/>
          <w:lang w:val="it-IT"/>
        </w:rPr>
        <w:t xml:space="preserve">del </w:t>
      </w:r>
      <w:r w:rsidR="0066247A" w:rsidRPr="005A55D8">
        <w:rPr>
          <w:color w:val="222222"/>
          <w:lang w:val="it-IT"/>
        </w:rPr>
        <w:lastRenderedPageBreak/>
        <w:t>paziente</w:t>
      </w:r>
      <w:r w:rsidRPr="005A55D8">
        <w:rPr>
          <w:color w:val="222222"/>
          <w:lang w:val="it-IT"/>
        </w:rPr>
        <w:t>. Per i vostri studenti</w:t>
      </w:r>
      <w:r w:rsidR="0066247A" w:rsidRPr="005A55D8">
        <w:rPr>
          <w:color w:val="222222"/>
          <w:lang w:val="it-IT"/>
        </w:rPr>
        <w:t xml:space="preserve"> il consulto in telemedicina </w:t>
      </w:r>
      <w:r w:rsidRPr="005A55D8">
        <w:rPr>
          <w:color w:val="222222"/>
          <w:lang w:val="it-IT"/>
        </w:rPr>
        <w:t>potrebbe presentare alcuni vantaggi, in quanto può essere ricevuto tramite un telefono cellulare e il migrante non deve recarsi presso uno studio medico.</w:t>
      </w:r>
      <w:r w:rsidR="0066247A" w:rsidRPr="005A55D8">
        <w:rPr>
          <w:color w:val="222222"/>
          <w:lang w:val="it-IT"/>
        </w:rPr>
        <w:t xml:space="preserve"> Ugualmente va sottolineato che potrebbero presentarsi anche elementi problematici, quali ad esempio una maggiore difficoltà di comprensione reciproca.</w:t>
      </w:r>
    </w:p>
    <w:p w14:paraId="062DD2D3" w14:textId="77777777" w:rsidR="00D3767C" w:rsidRPr="005A55D8" w:rsidRDefault="00D3767C">
      <w:pPr>
        <w:pBdr>
          <w:top w:val="nil"/>
          <w:left w:val="nil"/>
          <w:bottom w:val="nil"/>
          <w:right w:val="nil"/>
          <w:between w:val="nil"/>
        </w:pBdr>
        <w:spacing w:after="0"/>
        <w:rPr>
          <w:color w:val="222222"/>
          <w:lang w:val="it-IT"/>
        </w:rPr>
      </w:pPr>
    </w:p>
    <w:p w14:paraId="26FDAB6A" w14:textId="77777777" w:rsidR="00D3767C" w:rsidRPr="005A55D8" w:rsidRDefault="00775C71">
      <w:pPr>
        <w:pBdr>
          <w:top w:val="nil"/>
          <w:left w:val="nil"/>
          <w:bottom w:val="nil"/>
          <w:right w:val="nil"/>
          <w:between w:val="nil"/>
        </w:pBdr>
        <w:spacing w:after="0"/>
        <w:rPr>
          <w:color w:val="222222"/>
          <w:lang w:val="it-IT"/>
        </w:rPr>
      </w:pPr>
      <w:r w:rsidRPr="005A55D8">
        <w:rPr>
          <w:color w:val="222222"/>
          <w:lang w:val="it-IT"/>
        </w:rPr>
        <w:t xml:space="preserve">Parlare di salute mentale può essere una questione molto delicata e per alcuni gruppi (ad esempio </w:t>
      </w:r>
      <w:r w:rsidR="00783FED">
        <w:rPr>
          <w:color w:val="222222"/>
          <w:lang w:val="it-IT"/>
        </w:rPr>
        <w:t xml:space="preserve">le persone richiedenti asilo e </w:t>
      </w:r>
      <w:r w:rsidRPr="005A55D8">
        <w:rPr>
          <w:color w:val="222222"/>
          <w:lang w:val="it-IT"/>
        </w:rPr>
        <w:t>rifugiat</w:t>
      </w:r>
      <w:r w:rsidR="00783FED">
        <w:rPr>
          <w:color w:val="222222"/>
          <w:lang w:val="it-IT"/>
        </w:rPr>
        <w:t>e</w:t>
      </w:r>
      <w:r w:rsidRPr="005A55D8">
        <w:rPr>
          <w:color w:val="222222"/>
          <w:lang w:val="it-IT"/>
        </w:rPr>
        <w:t xml:space="preserve">) l'accesso a consulenze (faccia a faccia </w:t>
      </w:r>
      <w:r w:rsidR="00783FED">
        <w:rPr>
          <w:color w:val="222222"/>
          <w:lang w:val="it-IT"/>
        </w:rPr>
        <w:t>o</w:t>
      </w:r>
      <w:r w:rsidRPr="005A55D8">
        <w:rPr>
          <w:color w:val="222222"/>
          <w:lang w:val="it-IT"/>
        </w:rPr>
        <w:t xml:space="preserve"> online)</w:t>
      </w:r>
      <w:r w:rsidR="00783FED">
        <w:rPr>
          <w:color w:val="222222"/>
          <w:lang w:val="it-IT"/>
        </w:rPr>
        <w:t>,</w:t>
      </w:r>
      <w:r w:rsidRPr="005A55D8">
        <w:rPr>
          <w:color w:val="222222"/>
          <w:lang w:val="it-IT"/>
        </w:rPr>
        <w:t xml:space="preserve"> </w:t>
      </w:r>
      <w:r w:rsidR="00783FED" w:rsidRPr="005A55D8">
        <w:rPr>
          <w:color w:val="222222"/>
          <w:lang w:val="it-IT"/>
        </w:rPr>
        <w:t xml:space="preserve">trattamenti e terapie </w:t>
      </w:r>
      <w:r w:rsidRPr="005A55D8">
        <w:rPr>
          <w:color w:val="222222"/>
          <w:lang w:val="it-IT"/>
        </w:rPr>
        <w:t xml:space="preserve">non è sempre possibile in tempi brevi. I rifugiati con stress post-traumatico sono un gruppo vulnerabile per il quale sono disponibili poche misure preventive e terapeutiche. Gli approcci integrativi e culturalmente sensibili al trattamento dei rifugiati devono affrontare sfide complesse, come le barriere culturali e linguistiche, che richiedono una specializzazione da parte degli esperti medici. Tuttavia, nel frattempo, è noto che </w:t>
      </w:r>
      <w:r w:rsidR="0066247A" w:rsidRPr="005A55D8">
        <w:rPr>
          <w:color w:val="222222"/>
          <w:lang w:val="it-IT"/>
        </w:rPr>
        <w:t>alcuni elementi di disagio psichico possono essere rilevati in persone migranti, proprio in virtù dell’esposizione a violenza o a fattori traumatici vissuti durante la fase migratoria</w:t>
      </w:r>
      <w:r w:rsidR="00B54A2C" w:rsidRPr="005A55D8">
        <w:rPr>
          <w:color w:val="222222"/>
          <w:lang w:val="it-IT"/>
        </w:rPr>
        <w:t>: laddove</w:t>
      </w:r>
      <w:r w:rsidRPr="005A55D8">
        <w:rPr>
          <w:color w:val="222222"/>
          <w:lang w:val="it-IT"/>
        </w:rPr>
        <w:t xml:space="preserve"> possibile</w:t>
      </w:r>
      <w:r w:rsidR="00783FED" w:rsidRPr="00783FED">
        <w:rPr>
          <w:color w:val="222222"/>
          <w:lang w:val="it-IT"/>
        </w:rPr>
        <w:t xml:space="preserve"> </w:t>
      </w:r>
      <w:r w:rsidR="00783FED" w:rsidRPr="005A55D8">
        <w:rPr>
          <w:color w:val="222222"/>
          <w:lang w:val="it-IT"/>
        </w:rPr>
        <w:t>questo tema può essere discusso nella vostra formazione</w:t>
      </w:r>
      <w:r w:rsidR="00B54A2C" w:rsidRPr="005A55D8">
        <w:rPr>
          <w:color w:val="222222"/>
          <w:lang w:val="it-IT"/>
        </w:rPr>
        <w:t>, eventualmente richiedendo il sostegno con figure esperte in casi di etno-clinica o antropologia medica</w:t>
      </w:r>
      <w:r w:rsidRPr="005A55D8">
        <w:rPr>
          <w:color w:val="222222"/>
          <w:lang w:val="it-IT"/>
        </w:rPr>
        <w:t>. Il materiale formativo comprende diversi esercizi e raccomandazioni per le fasi di attuazione.</w:t>
      </w:r>
    </w:p>
    <w:p w14:paraId="6CA5D546" w14:textId="77777777" w:rsidR="00D3767C" w:rsidRPr="005A55D8" w:rsidRDefault="00D3767C">
      <w:pPr>
        <w:pBdr>
          <w:top w:val="nil"/>
          <w:left w:val="nil"/>
          <w:bottom w:val="nil"/>
          <w:right w:val="nil"/>
          <w:between w:val="nil"/>
        </w:pBdr>
        <w:spacing w:after="0"/>
        <w:rPr>
          <w:color w:val="222222"/>
          <w:lang w:val="it-IT"/>
        </w:rPr>
      </w:pPr>
    </w:p>
    <w:p w14:paraId="30F3E17B" w14:textId="77777777" w:rsidR="00D3767C" w:rsidRPr="005A55D8" w:rsidRDefault="00775C71">
      <w:pPr>
        <w:pBdr>
          <w:top w:val="nil"/>
          <w:left w:val="nil"/>
          <w:bottom w:val="nil"/>
          <w:right w:val="nil"/>
          <w:between w:val="nil"/>
        </w:pBdr>
        <w:spacing w:after="0"/>
        <w:rPr>
          <w:color w:val="000000"/>
          <w:lang w:val="it-IT"/>
        </w:rPr>
      </w:pPr>
      <w:r w:rsidRPr="005A55D8">
        <w:rPr>
          <w:color w:val="222222"/>
          <w:lang w:val="it-IT"/>
        </w:rPr>
        <w:t>In ogni caso</w:t>
      </w:r>
      <w:r w:rsidR="00783FED">
        <w:rPr>
          <w:color w:val="222222"/>
          <w:lang w:val="it-IT"/>
        </w:rPr>
        <w:t>, per quanto dalla riflessione possa emergere un invito ad una maggior consapevolezza e presa in carico personale del proprio stato di salute,</w:t>
      </w:r>
      <w:r w:rsidRPr="005A55D8">
        <w:rPr>
          <w:color w:val="222222"/>
          <w:lang w:val="it-IT"/>
        </w:rPr>
        <w:t xml:space="preserve"> è necessario </w:t>
      </w:r>
      <w:r w:rsidR="00783FED">
        <w:rPr>
          <w:color w:val="222222"/>
          <w:lang w:val="it-IT"/>
        </w:rPr>
        <w:t xml:space="preserve">sottolineare </w:t>
      </w:r>
      <w:r w:rsidRPr="005A55D8">
        <w:rPr>
          <w:color w:val="222222"/>
          <w:lang w:val="it-IT"/>
        </w:rPr>
        <w:t>che gli studenti devono sempre consultare il proprio medico per la diagnosi e il trattamento.</w:t>
      </w:r>
    </w:p>
    <w:p w14:paraId="171DF9B0" w14:textId="77777777" w:rsidR="00D3767C" w:rsidRPr="005A55D8" w:rsidRDefault="00D3767C">
      <w:pPr>
        <w:pBdr>
          <w:top w:val="nil"/>
          <w:left w:val="nil"/>
          <w:bottom w:val="nil"/>
          <w:right w:val="nil"/>
          <w:between w:val="nil"/>
        </w:pBdr>
        <w:spacing w:before="120" w:after="120" w:line="240" w:lineRule="auto"/>
        <w:rPr>
          <w:rFonts w:ascii="Times New Roman" w:eastAsia="Times New Roman" w:hAnsi="Times New Roman" w:cs="Times New Roman"/>
          <w:color w:val="000000"/>
          <w:sz w:val="24"/>
          <w:szCs w:val="24"/>
          <w:lang w:val="it-IT"/>
        </w:rPr>
      </w:pPr>
    </w:p>
    <w:p w14:paraId="74008BC8" w14:textId="77777777" w:rsidR="00D3767C" w:rsidRPr="005A55D8" w:rsidRDefault="00775C71">
      <w:pPr>
        <w:pStyle w:val="2"/>
        <w:tabs>
          <w:tab w:val="center" w:pos="4536"/>
        </w:tabs>
        <w:rPr>
          <w:lang w:val="it-IT"/>
        </w:rPr>
      </w:pPr>
      <w:bookmarkStart w:id="4" w:name="_Toc109999720"/>
      <w:r w:rsidRPr="005A55D8">
        <w:rPr>
          <w:lang w:val="it-IT"/>
        </w:rPr>
        <w:t>2.4. Strategie di prevenzione</w:t>
      </w:r>
      <w:bookmarkEnd w:id="4"/>
      <w:r w:rsidRPr="005A55D8">
        <w:rPr>
          <w:lang w:val="it-IT"/>
        </w:rPr>
        <w:tab/>
      </w:r>
    </w:p>
    <w:p w14:paraId="53FF765C" w14:textId="77777777" w:rsidR="00D3767C" w:rsidRPr="005A55D8" w:rsidRDefault="00D3767C">
      <w:pPr>
        <w:pBdr>
          <w:top w:val="nil"/>
          <w:left w:val="nil"/>
          <w:bottom w:val="nil"/>
          <w:right w:val="nil"/>
          <w:between w:val="nil"/>
        </w:pBdr>
        <w:spacing w:after="0"/>
        <w:rPr>
          <w:color w:val="000000"/>
          <w:sz w:val="24"/>
          <w:szCs w:val="24"/>
          <w:lang w:val="it-IT"/>
        </w:rPr>
      </w:pPr>
    </w:p>
    <w:p w14:paraId="0A6C8742" w14:textId="77777777" w:rsidR="00D3767C" w:rsidRPr="005A55D8" w:rsidRDefault="00775C71">
      <w:pPr>
        <w:pBdr>
          <w:top w:val="nil"/>
          <w:left w:val="nil"/>
          <w:bottom w:val="nil"/>
          <w:right w:val="nil"/>
          <w:between w:val="nil"/>
        </w:pBdr>
        <w:spacing w:after="0"/>
        <w:rPr>
          <w:color w:val="000000"/>
          <w:lang w:val="it-IT"/>
        </w:rPr>
      </w:pPr>
      <w:r w:rsidRPr="005A55D8">
        <w:rPr>
          <w:color w:val="000000"/>
          <w:lang w:val="it-IT"/>
        </w:rPr>
        <w:t xml:space="preserve">Questa parte della formazione </w:t>
      </w:r>
      <w:r w:rsidRPr="005A55D8">
        <w:rPr>
          <w:lang w:val="it-IT"/>
        </w:rPr>
        <w:t>si concentra sull'</w:t>
      </w:r>
      <w:r w:rsidRPr="005A55D8">
        <w:rPr>
          <w:color w:val="000000"/>
          <w:lang w:val="it-IT"/>
        </w:rPr>
        <w:t>apprendimento della prevenzione delle malattie, sull'esplorazione delle strategie di prevenzione più comuni e sulla comprensione dell'importanza dell'adozione di tali strategie. Il vostro ruolo di formatori è quello di comunicare le rispettive informazioni</w:t>
      </w:r>
      <w:r w:rsidR="00783FED">
        <w:rPr>
          <w:color w:val="000000"/>
          <w:lang w:val="it-IT"/>
        </w:rPr>
        <w:t xml:space="preserve"> </w:t>
      </w:r>
      <w:r w:rsidRPr="005A55D8">
        <w:rPr>
          <w:color w:val="000000"/>
          <w:lang w:val="it-IT"/>
        </w:rPr>
        <w:t xml:space="preserve">su argomenti importanti come le vaccinazioni, le malattie prevenibili con i vaccini, l'alimentazione (compresi il trattamento e la prevenzione della malnutrizione), l'impatto negativo dell'alcol e del </w:t>
      </w:r>
      <w:r w:rsidRPr="005A55D8">
        <w:rPr>
          <w:lang w:val="it-IT"/>
        </w:rPr>
        <w:t>fumo</w:t>
      </w:r>
      <w:r w:rsidRPr="005A55D8">
        <w:rPr>
          <w:color w:val="000000"/>
          <w:lang w:val="it-IT"/>
        </w:rPr>
        <w:t xml:space="preserve">, l'importanza di </w:t>
      </w:r>
      <w:r w:rsidR="00783FED">
        <w:rPr>
          <w:lang w:val="it-IT"/>
        </w:rPr>
        <w:t>svolgere</w:t>
      </w:r>
      <w:r w:rsidRPr="005A55D8">
        <w:rPr>
          <w:lang w:val="it-IT"/>
        </w:rPr>
        <w:t xml:space="preserve"> </w:t>
      </w:r>
      <w:r w:rsidRPr="005A55D8">
        <w:rPr>
          <w:color w:val="000000"/>
          <w:lang w:val="it-IT"/>
        </w:rPr>
        <w:t xml:space="preserve">attività fisica </w:t>
      </w:r>
      <w:r w:rsidR="00783FED">
        <w:rPr>
          <w:color w:val="000000"/>
          <w:lang w:val="it-IT"/>
        </w:rPr>
        <w:t>nelle varie fasi del</w:t>
      </w:r>
      <w:r w:rsidRPr="005A55D8">
        <w:rPr>
          <w:lang w:val="it-IT"/>
        </w:rPr>
        <w:t xml:space="preserve">la vita e gli </w:t>
      </w:r>
      <w:r w:rsidRPr="005A55D8">
        <w:rPr>
          <w:color w:val="000000"/>
          <w:lang w:val="it-IT"/>
        </w:rPr>
        <w:t xml:space="preserve">screening </w:t>
      </w:r>
      <w:r w:rsidRPr="005A55D8">
        <w:rPr>
          <w:lang w:val="it-IT"/>
        </w:rPr>
        <w:lastRenderedPageBreak/>
        <w:t xml:space="preserve">raccomandati </w:t>
      </w:r>
      <w:r w:rsidRPr="005A55D8">
        <w:rPr>
          <w:color w:val="000000"/>
          <w:lang w:val="it-IT"/>
        </w:rPr>
        <w:t xml:space="preserve">per le malattie </w:t>
      </w:r>
      <w:r w:rsidRPr="005A55D8">
        <w:rPr>
          <w:lang w:val="it-IT"/>
        </w:rPr>
        <w:t xml:space="preserve">croniche e altre </w:t>
      </w:r>
      <w:r w:rsidRPr="005A55D8">
        <w:rPr>
          <w:color w:val="000000"/>
          <w:lang w:val="it-IT"/>
        </w:rPr>
        <w:t>malattie. L'</w:t>
      </w:r>
      <w:r w:rsidRPr="005A55D8">
        <w:rPr>
          <w:lang w:val="it-IT"/>
        </w:rPr>
        <w:t xml:space="preserve">osservanza delle </w:t>
      </w:r>
      <w:r w:rsidRPr="005A55D8">
        <w:rPr>
          <w:color w:val="000000"/>
          <w:lang w:val="it-IT"/>
        </w:rPr>
        <w:t xml:space="preserve">norme igieniche </w:t>
      </w:r>
      <w:r w:rsidRPr="005A55D8">
        <w:rPr>
          <w:lang w:val="it-IT"/>
        </w:rPr>
        <w:t>è un'importante strategia di prevenzione primaria, facile da seguire, che verrà discussa</w:t>
      </w:r>
      <w:r w:rsidRPr="005A55D8">
        <w:rPr>
          <w:color w:val="000000"/>
          <w:lang w:val="it-IT"/>
        </w:rPr>
        <w:t>.</w:t>
      </w:r>
    </w:p>
    <w:p w14:paraId="008DAEAB" w14:textId="77777777" w:rsidR="00D3767C" w:rsidRPr="005A55D8" w:rsidRDefault="00775C71">
      <w:pPr>
        <w:pBdr>
          <w:top w:val="nil"/>
          <w:left w:val="nil"/>
          <w:bottom w:val="nil"/>
          <w:right w:val="nil"/>
          <w:between w:val="nil"/>
        </w:pBdr>
        <w:spacing w:after="0"/>
        <w:rPr>
          <w:lang w:val="it-IT"/>
        </w:rPr>
      </w:pPr>
      <w:r w:rsidRPr="005A55D8">
        <w:rPr>
          <w:lang w:val="it-IT"/>
        </w:rPr>
        <w:t xml:space="preserve">Siete incoraggiati a iniziare una discussione </w:t>
      </w:r>
      <w:r w:rsidR="00783FED">
        <w:rPr>
          <w:lang w:val="it-IT"/>
        </w:rPr>
        <w:t xml:space="preserve">di gruppo </w:t>
      </w:r>
      <w:r w:rsidRPr="005A55D8">
        <w:rPr>
          <w:lang w:val="it-IT"/>
        </w:rPr>
        <w:t>sull</w:t>
      </w:r>
      <w:r w:rsidR="00783FED">
        <w:rPr>
          <w:lang w:val="it-IT"/>
        </w:rPr>
        <w:t>’ auto-</w:t>
      </w:r>
      <w:r w:rsidRPr="005A55D8">
        <w:rPr>
          <w:lang w:val="it-IT"/>
        </w:rPr>
        <w:t>percezione delle corrette abitudini nutrizionali</w:t>
      </w:r>
      <w:r w:rsidR="00783FED">
        <w:rPr>
          <w:lang w:val="it-IT"/>
        </w:rPr>
        <w:t xml:space="preserve">, </w:t>
      </w:r>
      <w:r w:rsidRPr="005A55D8">
        <w:rPr>
          <w:lang w:val="it-IT"/>
        </w:rPr>
        <w:t xml:space="preserve">ad approfondire </w:t>
      </w:r>
      <w:r w:rsidR="00783FED">
        <w:rPr>
          <w:lang w:val="it-IT"/>
        </w:rPr>
        <w:t>tali abitudini e capire</w:t>
      </w:r>
      <w:r w:rsidRPr="005A55D8">
        <w:rPr>
          <w:lang w:val="it-IT"/>
        </w:rPr>
        <w:t xml:space="preserve"> se </w:t>
      </w:r>
      <w:r w:rsidR="00783FED">
        <w:rPr>
          <w:lang w:val="it-IT"/>
        </w:rPr>
        <w:t xml:space="preserve">vengono utilizzati </w:t>
      </w:r>
      <w:r w:rsidRPr="005A55D8">
        <w:rPr>
          <w:lang w:val="it-IT"/>
        </w:rPr>
        <w:t>i mezzi digitali per ottenere informazioni, consigli salutari, ricette e consulenze dietetiche.</w:t>
      </w:r>
    </w:p>
    <w:p w14:paraId="567298BB" w14:textId="77777777" w:rsidR="00D3767C" w:rsidRPr="005A55D8" w:rsidRDefault="00D3767C">
      <w:pPr>
        <w:pBdr>
          <w:top w:val="nil"/>
          <w:left w:val="nil"/>
          <w:bottom w:val="nil"/>
          <w:right w:val="nil"/>
          <w:between w:val="nil"/>
        </w:pBdr>
        <w:spacing w:after="0"/>
        <w:rPr>
          <w:lang w:val="it-IT"/>
        </w:rPr>
      </w:pPr>
    </w:p>
    <w:p w14:paraId="055A2A23" w14:textId="77777777" w:rsidR="00D3767C" w:rsidRPr="005A55D8" w:rsidRDefault="00775C71">
      <w:pPr>
        <w:pBdr>
          <w:top w:val="nil"/>
          <w:left w:val="nil"/>
          <w:bottom w:val="nil"/>
          <w:right w:val="nil"/>
          <w:between w:val="nil"/>
        </w:pBdr>
        <w:spacing w:after="0"/>
        <w:rPr>
          <w:lang w:val="it-IT"/>
        </w:rPr>
      </w:pPr>
      <w:r w:rsidRPr="005A55D8">
        <w:rPr>
          <w:lang w:val="it-IT"/>
        </w:rPr>
        <w:t xml:space="preserve">Si consiglia inoltre di avviare una conversazione sulla conoscenza </w:t>
      </w:r>
      <w:r w:rsidR="00783FED">
        <w:rPr>
          <w:lang w:val="it-IT"/>
        </w:rPr>
        <w:t xml:space="preserve">da parte dei partecipanti </w:t>
      </w:r>
      <w:r w:rsidRPr="005A55D8">
        <w:rPr>
          <w:lang w:val="it-IT"/>
        </w:rPr>
        <w:t>delle vaccinazioni raccomandate sia nel Paese d'origine che in quello ospitante e su</w:t>
      </w:r>
      <w:r w:rsidR="00783FED">
        <w:rPr>
          <w:lang w:val="it-IT"/>
        </w:rPr>
        <w:t xml:space="preserve">l livello di fiducia con cui ci si approccia </w:t>
      </w:r>
      <w:r w:rsidRPr="005A55D8">
        <w:rPr>
          <w:lang w:val="it-IT"/>
        </w:rPr>
        <w:t>nel ricercare i</w:t>
      </w:r>
      <w:r w:rsidR="00783FED">
        <w:rPr>
          <w:lang w:val="it-IT"/>
        </w:rPr>
        <w:t>l</w:t>
      </w:r>
      <w:r w:rsidRPr="005A55D8">
        <w:rPr>
          <w:lang w:val="it-IT"/>
        </w:rPr>
        <w:t xml:space="preserve"> programm</w:t>
      </w:r>
      <w:r w:rsidR="00783FED">
        <w:rPr>
          <w:lang w:val="it-IT"/>
        </w:rPr>
        <w:t>a</w:t>
      </w:r>
      <w:r w:rsidRPr="005A55D8">
        <w:rPr>
          <w:lang w:val="it-IT"/>
        </w:rPr>
        <w:t xml:space="preserve"> nazionale di vaccinazione sia per i bambini/adolescenti che per gli adulti.</w:t>
      </w:r>
    </w:p>
    <w:p w14:paraId="6F0F2461" w14:textId="77777777" w:rsidR="00D3767C" w:rsidRPr="005A55D8" w:rsidRDefault="00775C71">
      <w:pPr>
        <w:pBdr>
          <w:top w:val="nil"/>
          <w:left w:val="nil"/>
          <w:bottom w:val="nil"/>
          <w:right w:val="nil"/>
          <w:between w:val="nil"/>
        </w:pBdr>
        <w:spacing w:after="0"/>
        <w:rPr>
          <w:color w:val="000000"/>
          <w:lang w:val="it-IT"/>
        </w:rPr>
      </w:pPr>
      <w:r w:rsidRPr="005A55D8">
        <w:rPr>
          <w:color w:val="000000"/>
          <w:lang w:val="it-IT"/>
        </w:rPr>
        <w:t xml:space="preserve">Nel caso in cui il vostro gruppo di </w:t>
      </w:r>
      <w:r w:rsidR="00783FED">
        <w:rPr>
          <w:color w:val="000000"/>
          <w:lang w:val="it-IT"/>
        </w:rPr>
        <w:t>studenti</w:t>
      </w:r>
      <w:r w:rsidRPr="005A55D8">
        <w:rPr>
          <w:color w:val="000000"/>
          <w:lang w:val="it-IT"/>
        </w:rPr>
        <w:t xml:space="preserve"> sia composto principalmente </w:t>
      </w:r>
      <w:r w:rsidRPr="005A55D8">
        <w:rPr>
          <w:lang w:val="it-IT"/>
        </w:rPr>
        <w:t xml:space="preserve">da </w:t>
      </w:r>
      <w:r w:rsidRPr="005A55D8">
        <w:rPr>
          <w:color w:val="000000"/>
          <w:lang w:val="it-IT"/>
        </w:rPr>
        <w:t>donne, considerate la possibilità di concentrarvi su argomenti speciali come la prevenzione della salute delle donne, la gravidanza, la cura dei bambini e dei neonati che si possono trovare negli allegati del modulo.</w:t>
      </w:r>
    </w:p>
    <w:p w14:paraId="32F388C3" w14:textId="77777777" w:rsidR="00D3767C" w:rsidRPr="005A55D8" w:rsidRDefault="00D3767C">
      <w:pPr>
        <w:pBdr>
          <w:top w:val="nil"/>
          <w:left w:val="nil"/>
          <w:bottom w:val="nil"/>
          <w:right w:val="nil"/>
          <w:between w:val="nil"/>
        </w:pBdr>
        <w:spacing w:after="0"/>
        <w:rPr>
          <w:color w:val="000000"/>
          <w:lang w:val="it-IT"/>
        </w:rPr>
      </w:pPr>
    </w:p>
    <w:p w14:paraId="43D26D7E" w14:textId="77777777" w:rsidR="00D3767C" w:rsidRPr="005A55D8" w:rsidRDefault="00775C71">
      <w:pPr>
        <w:pBdr>
          <w:top w:val="nil"/>
          <w:left w:val="nil"/>
          <w:bottom w:val="nil"/>
          <w:right w:val="nil"/>
          <w:between w:val="nil"/>
        </w:pBdr>
        <w:spacing w:after="0"/>
        <w:rPr>
          <w:color w:val="000000"/>
          <w:lang w:val="it-IT"/>
        </w:rPr>
      </w:pPr>
      <w:r w:rsidRPr="005A55D8">
        <w:rPr>
          <w:color w:val="000000"/>
          <w:lang w:val="it-IT"/>
        </w:rPr>
        <w:t xml:space="preserve">Nel caso in cui il vostro gruppo di </w:t>
      </w:r>
      <w:r w:rsidR="00783FED">
        <w:rPr>
          <w:color w:val="000000"/>
          <w:lang w:val="it-IT"/>
        </w:rPr>
        <w:t xml:space="preserve">studenti </w:t>
      </w:r>
      <w:r w:rsidRPr="005A55D8">
        <w:rPr>
          <w:color w:val="000000"/>
          <w:lang w:val="it-IT"/>
        </w:rPr>
        <w:t>abbia un interesse particolare per la salute mentale, la formazione include del materiale sull'identificazione dei problemi di salute mentale e sulla costruzione della resilienza della salute mentale, che si trova anche negli allegati.</w:t>
      </w:r>
    </w:p>
    <w:p w14:paraId="7ABF4DA4" w14:textId="77777777" w:rsidR="00D3767C" w:rsidRPr="005A55D8" w:rsidRDefault="00D3767C">
      <w:pPr>
        <w:pBdr>
          <w:top w:val="nil"/>
          <w:left w:val="nil"/>
          <w:bottom w:val="nil"/>
          <w:right w:val="nil"/>
          <w:between w:val="nil"/>
        </w:pBdr>
        <w:spacing w:before="120" w:after="120" w:line="240" w:lineRule="auto"/>
        <w:rPr>
          <w:rFonts w:ascii="Times New Roman" w:eastAsia="Times New Roman" w:hAnsi="Times New Roman" w:cs="Times New Roman"/>
          <w:color w:val="000000"/>
          <w:sz w:val="24"/>
          <w:szCs w:val="24"/>
          <w:lang w:val="it-IT"/>
        </w:rPr>
      </w:pPr>
    </w:p>
    <w:p w14:paraId="181288BD" w14:textId="77777777" w:rsidR="00D3767C" w:rsidRPr="005A55D8" w:rsidRDefault="00775C71">
      <w:pPr>
        <w:pStyle w:val="2"/>
        <w:rPr>
          <w:lang w:val="it-IT"/>
        </w:rPr>
      </w:pPr>
      <w:bookmarkStart w:id="5" w:name="_Toc109999721"/>
      <w:r w:rsidRPr="005A55D8">
        <w:rPr>
          <w:lang w:val="it-IT"/>
        </w:rPr>
        <w:t>2.5 Riferimenti</w:t>
      </w:r>
      <w:bookmarkEnd w:id="5"/>
    </w:p>
    <w:p w14:paraId="1A146D64" w14:textId="77777777" w:rsidR="00D3767C" w:rsidRPr="005A55D8" w:rsidRDefault="00D3767C">
      <w:pPr>
        <w:pBdr>
          <w:top w:val="nil"/>
          <w:left w:val="nil"/>
          <w:bottom w:val="nil"/>
          <w:right w:val="nil"/>
          <w:between w:val="nil"/>
        </w:pBdr>
        <w:rPr>
          <w:lang w:val="it-IT"/>
        </w:rPr>
      </w:pPr>
    </w:p>
    <w:p w14:paraId="1CB547AF" w14:textId="77777777" w:rsidR="00D3767C" w:rsidRPr="00EB49E9" w:rsidRDefault="00775C71">
      <w:pPr>
        <w:pBdr>
          <w:top w:val="nil"/>
          <w:left w:val="nil"/>
          <w:bottom w:val="nil"/>
          <w:right w:val="nil"/>
          <w:between w:val="nil"/>
        </w:pBdr>
        <w:rPr>
          <w:lang w:val="it-IT"/>
        </w:rPr>
      </w:pPr>
      <w:r w:rsidRPr="00EB49E9">
        <w:rPr>
          <w:lang w:val="it-IT"/>
        </w:rPr>
        <w:t>Per ulteriori letture, si raccomanda la seguente letteratura:</w:t>
      </w:r>
    </w:p>
    <w:p w14:paraId="718BBA72" w14:textId="77777777" w:rsidR="00EB49E9" w:rsidRPr="00EB49E9" w:rsidRDefault="00EB49E9" w:rsidP="00EB49E9">
      <w:pPr>
        <w:pBdr>
          <w:top w:val="nil"/>
          <w:left w:val="nil"/>
          <w:bottom w:val="nil"/>
          <w:right w:val="nil"/>
          <w:between w:val="nil"/>
        </w:pBdr>
      </w:pPr>
      <w:r w:rsidRPr="00EB49E9">
        <w:t xml:space="preserve">Bryce, E., </w:t>
      </w:r>
      <w:proofErr w:type="spellStart"/>
      <w:r w:rsidRPr="00EB49E9">
        <w:t>Mullany</w:t>
      </w:r>
      <w:proofErr w:type="spellEnd"/>
      <w:r w:rsidRPr="00EB49E9">
        <w:t xml:space="preserve">, L.C., </w:t>
      </w:r>
      <w:proofErr w:type="spellStart"/>
      <w:r w:rsidRPr="00EB49E9">
        <w:t>Khatry</w:t>
      </w:r>
      <w:proofErr w:type="spellEnd"/>
      <w:r w:rsidRPr="00EB49E9">
        <w:t>, S.K. et al. 2020. Coverage of the WHO’s four essential elements of newborn care and their association with neonatal survival in southern Nepal. BMC Pregnancy Childbirth 20, 540 https://doi.org/10.1186/s12884-020-03239-6</w:t>
      </w:r>
    </w:p>
    <w:p w14:paraId="187C9842" w14:textId="77777777" w:rsidR="00EB49E9" w:rsidRPr="00EB49E9" w:rsidRDefault="00EB49E9" w:rsidP="00EB49E9">
      <w:pPr>
        <w:pBdr>
          <w:top w:val="nil"/>
          <w:left w:val="nil"/>
          <w:bottom w:val="nil"/>
          <w:right w:val="nil"/>
          <w:between w:val="nil"/>
        </w:pBdr>
      </w:pPr>
      <w:proofErr w:type="spellStart"/>
      <w:r w:rsidRPr="00EB49E9">
        <w:t>Carr</w:t>
      </w:r>
      <w:proofErr w:type="spellEnd"/>
      <w:r w:rsidRPr="00EB49E9">
        <w:t> T.P et al. 2016. Advanced Nutrition and Human Metabolism. Cengage Learning.</w:t>
      </w:r>
    </w:p>
    <w:p w14:paraId="7EE9E4BA" w14:textId="77777777" w:rsidR="00EB49E9" w:rsidRPr="00EB49E9" w:rsidRDefault="00EB49E9" w:rsidP="00EB49E9">
      <w:pPr>
        <w:pBdr>
          <w:top w:val="nil"/>
          <w:left w:val="nil"/>
          <w:bottom w:val="nil"/>
          <w:right w:val="nil"/>
          <w:between w:val="nil"/>
        </w:pBdr>
        <w:jc w:val="left"/>
      </w:pPr>
      <w:r w:rsidRPr="00EB49E9">
        <w:t>Center for Disease Control and Prevention (CDC) n.d.  https://www.cdc.gov/ncbddd/birthdefects/prevention.html </w:t>
      </w:r>
    </w:p>
    <w:p w14:paraId="6DF8C215" w14:textId="77777777" w:rsidR="00EB49E9" w:rsidRPr="00EB49E9" w:rsidRDefault="00EB49E9" w:rsidP="00EB49E9">
      <w:pPr>
        <w:pBdr>
          <w:top w:val="nil"/>
          <w:left w:val="nil"/>
          <w:bottom w:val="nil"/>
          <w:right w:val="nil"/>
          <w:between w:val="nil"/>
        </w:pBdr>
        <w:jc w:val="left"/>
      </w:pPr>
      <w:r w:rsidRPr="00EB49E9">
        <w:lastRenderedPageBreak/>
        <w:t xml:space="preserve">European Commission. 2020. The health benefits of vaccination. https://ec.europa.eu/commission/presscorner/detail/en/fs_20_2364. </w:t>
      </w:r>
    </w:p>
    <w:p w14:paraId="7B3A8C0C" w14:textId="77777777" w:rsidR="00EB49E9" w:rsidRPr="00EB49E9" w:rsidRDefault="00EB49E9" w:rsidP="00EB49E9">
      <w:pPr>
        <w:pBdr>
          <w:top w:val="nil"/>
          <w:left w:val="nil"/>
          <w:bottom w:val="nil"/>
          <w:right w:val="nil"/>
          <w:between w:val="nil"/>
        </w:pBdr>
        <w:jc w:val="left"/>
      </w:pPr>
      <w:r w:rsidRPr="00EB49E9">
        <w:t xml:space="preserve">European Parliament, Directorate General for Internal Policy. 2017. Research for CULT–Committee. Why Cultural Work with Refugees. Retrieved from: </w:t>
      </w:r>
      <w:hyperlink r:id="rId21">
        <w:r w:rsidRPr="00EB49E9">
          <w:rPr>
            <w:color w:val="0563C1"/>
            <w:u w:val="single"/>
          </w:rPr>
          <w:t>http://www.europarl.europa.eu/RegData/etudes/IDAN/2017/602004/IPOL_IDA(2017)602004_EN.pdf</w:t>
        </w:r>
      </w:hyperlink>
    </w:p>
    <w:p w14:paraId="101BA245" w14:textId="77777777" w:rsidR="00EB49E9" w:rsidRPr="00EB49E9" w:rsidRDefault="00EB49E9" w:rsidP="00EB49E9">
      <w:pPr>
        <w:pBdr>
          <w:top w:val="nil"/>
          <w:left w:val="nil"/>
          <w:bottom w:val="nil"/>
          <w:right w:val="nil"/>
          <w:between w:val="nil"/>
        </w:pBdr>
      </w:pPr>
      <w:r w:rsidRPr="00EB49E9">
        <w:t xml:space="preserve">European Centre for Disease Prevention and Control. 2020. Guidance on infection prevention and control of coronavirus disease (COVID-19) in migrant and refugee reception and detention </w:t>
      </w:r>
      <w:proofErr w:type="spellStart"/>
      <w:r w:rsidRPr="00EB49E9">
        <w:t>centres</w:t>
      </w:r>
      <w:proofErr w:type="spellEnd"/>
      <w:r w:rsidRPr="00EB49E9">
        <w:t xml:space="preserve"> in the EU/EEA and the United Kingdom</w:t>
      </w:r>
    </w:p>
    <w:p w14:paraId="0F2CF8ED" w14:textId="77777777" w:rsidR="00EB49E9" w:rsidRPr="00EB49E9" w:rsidRDefault="00EB49E9" w:rsidP="00EB49E9">
      <w:pPr>
        <w:pBdr>
          <w:top w:val="nil"/>
          <w:left w:val="nil"/>
          <w:bottom w:val="nil"/>
          <w:right w:val="nil"/>
          <w:between w:val="nil"/>
        </w:pBdr>
      </w:pPr>
      <w:r w:rsidRPr="00EB49E9">
        <w:t xml:space="preserve">International Scientific Forum on Home Hygiene. 2018. Containing the burden of infectious diseases is everyone’s responsibility: A call for an integrated strategy for developing and promoting hygiene </w:t>
      </w:r>
      <w:proofErr w:type="spellStart"/>
      <w:r w:rsidRPr="00EB49E9">
        <w:t>behaviour</w:t>
      </w:r>
      <w:proofErr w:type="spellEnd"/>
      <w:r w:rsidRPr="00EB49E9">
        <w:t xml:space="preserve"> change in home and everyday life [White Paper]. https://www.ifh-homehygiene.org/sites/default/files/publications/IFH%20White%20Paper-10-18.pdf. </w:t>
      </w:r>
    </w:p>
    <w:p w14:paraId="4B5656FE" w14:textId="77777777" w:rsidR="00EB49E9" w:rsidRPr="00EB49E9" w:rsidRDefault="00EB49E9" w:rsidP="00EB49E9">
      <w:pPr>
        <w:pBdr>
          <w:top w:val="nil"/>
          <w:left w:val="nil"/>
          <w:bottom w:val="nil"/>
          <w:right w:val="nil"/>
          <w:between w:val="nil"/>
        </w:pBdr>
        <w:jc w:val="left"/>
      </w:pPr>
      <w:r w:rsidRPr="00EB49E9">
        <w:t>John Hopkins Medicine. n.d. </w:t>
      </w:r>
      <w:hyperlink r:id="rId22">
        <w:r w:rsidRPr="00EB49E9">
          <w:rPr>
            <w:color w:val="0563C1"/>
            <w:u w:val="single"/>
          </w:rPr>
          <w:t>https://www.hopkinsmedicine.org/health/treatment-tests-and-therapies/screening-tests-for-common-diseases</w:t>
        </w:r>
      </w:hyperlink>
      <w:r w:rsidRPr="00EB49E9">
        <w:t> </w:t>
      </w:r>
    </w:p>
    <w:p w14:paraId="4A541F45" w14:textId="77777777" w:rsidR="00EB49E9" w:rsidRPr="00EB49E9" w:rsidRDefault="00EB49E9" w:rsidP="00EB49E9">
      <w:pPr>
        <w:pBdr>
          <w:top w:val="nil"/>
          <w:left w:val="nil"/>
          <w:bottom w:val="nil"/>
          <w:right w:val="nil"/>
          <w:between w:val="nil"/>
        </w:pBdr>
        <w:jc w:val="left"/>
      </w:pPr>
      <w:r w:rsidRPr="00EB49E9">
        <w:t>Johns Hopkins Medicine. n.d. - </w:t>
      </w:r>
      <w:hyperlink r:id="rId23">
        <w:r w:rsidRPr="00EB49E9">
          <w:rPr>
            <w:color w:val="0563C1"/>
            <w:u w:val="single"/>
          </w:rPr>
          <w:t>https://www.hopkinsmedicine.org/health/wellness-and-prevention/abcs-of-eating-smart-for-a-healthy-heart</w:t>
        </w:r>
      </w:hyperlink>
    </w:p>
    <w:p w14:paraId="18408178" w14:textId="77777777" w:rsidR="00EB49E9" w:rsidRPr="00EB49E9" w:rsidRDefault="00EB49E9" w:rsidP="00EB49E9">
      <w:pPr>
        <w:pBdr>
          <w:top w:val="nil"/>
          <w:left w:val="nil"/>
          <w:bottom w:val="nil"/>
          <w:right w:val="nil"/>
          <w:between w:val="nil"/>
        </w:pBdr>
        <w:rPr>
          <w:lang w:val="de-DE"/>
        </w:rPr>
      </w:pPr>
      <w:r w:rsidRPr="00EB49E9">
        <w:t xml:space="preserve">John Hopkins </w:t>
      </w:r>
      <w:proofErr w:type="gramStart"/>
      <w:r w:rsidRPr="00EB49E9">
        <w:t>Medicine .</w:t>
      </w:r>
      <w:proofErr w:type="gramEnd"/>
      <w:r w:rsidRPr="00EB49E9">
        <w:t>n.d. Malnutrition. </w:t>
      </w:r>
      <w:hyperlink r:id="rId24">
        <w:r w:rsidRPr="00EB49E9">
          <w:rPr>
            <w:color w:val="0563C1"/>
            <w:u w:val="single"/>
            <w:lang w:val="de-DE"/>
          </w:rPr>
          <w:t>https://www.hopkinsmedicine.org/health/conditions-and-diseases/malnutrition</w:t>
        </w:r>
      </w:hyperlink>
    </w:p>
    <w:p w14:paraId="7DB3A58B" w14:textId="77777777" w:rsidR="00EB49E9" w:rsidRPr="00EB49E9" w:rsidRDefault="00EB49E9" w:rsidP="00EB49E9">
      <w:pPr>
        <w:pBdr>
          <w:top w:val="nil"/>
          <w:left w:val="nil"/>
          <w:bottom w:val="nil"/>
          <w:right w:val="nil"/>
          <w:between w:val="nil"/>
        </w:pBdr>
        <w:rPr>
          <w:color w:val="000000"/>
        </w:rPr>
      </w:pPr>
      <w:proofErr w:type="spellStart"/>
      <w:r w:rsidRPr="00EB49E9">
        <w:rPr>
          <w:color w:val="000000"/>
          <w:lang w:val="de-DE"/>
        </w:rPr>
        <w:t>Matlin</w:t>
      </w:r>
      <w:proofErr w:type="spellEnd"/>
      <w:r w:rsidRPr="00EB49E9">
        <w:rPr>
          <w:color w:val="000000"/>
          <w:lang w:val="de-DE"/>
        </w:rPr>
        <w:t xml:space="preserve">, S.A., </w:t>
      </w:r>
      <w:proofErr w:type="spellStart"/>
      <w:r w:rsidRPr="00EB49E9">
        <w:rPr>
          <w:color w:val="000000"/>
          <w:lang w:val="de-DE"/>
        </w:rPr>
        <w:t>Depoux</w:t>
      </w:r>
      <w:proofErr w:type="spellEnd"/>
      <w:r w:rsidRPr="00EB49E9">
        <w:rPr>
          <w:color w:val="000000"/>
          <w:lang w:val="de-DE"/>
        </w:rPr>
        <w:t>, A., Schütte, S. </w:t>
      </w:r>
      <w:r w:rsidRPr="00EB49E9">
        <w:rPr>
          <w:i/>
          <w:color w:val="000000"/>
          <w:lang w:val="de-DE"/>
        </w:rPr>
        <w:t>et al.</w:t>
      </w:r>
      <w:r w:rsidRPr="00EB49E9">
        <w:rPr>
          <w:color w:val="000000"/>
          <w:lang w:val="de-DE"/>
        </w:rPr>
        <w:t xml:space="preserve"> 2018. </w:t>
      </w:r>
      <w:r w:rsidRPr="00EB49E9">
        <w:rPr>
          <w:color w:val="000000"/>
        </w:rPr>
        <w:t>Migrants’ and refugees’ health: towards an agenda of solutions. </w:t>
      </w:r>
      <w:r w:rsidRPr="00EB49E9">
        <w:rPr>
          <w:i/>
          <w:color w:val="000000"/>
        </w:rPr>
        <w:t>Public Health Rev</w:t>
      </w:r>
      <w:r w:rsidRPr="00EB49E9">
        <w:rPr>
          <w:color w:val="000000"/>
        </w:rPr>
        <w:t> 39,</w:t>
      </w:r>
      <w:r w:rsidRPr="00EB49E9">
        <w:rPr>
          <w:b/>
          <w:color w:val="000000"/>
        </w:rPr>
        <w:t> </w:t>
      </w:r>
      <w:r w:rsidRPr="00EB49E9">
        <w:rPr>
          <w:color w:val="000000"/>
        </w:rPr>
        <w:t xml:space="preserve">27. https://doi.org/10.1186/s40985-018-0104-9 </w:t>
      </w:r>
    </w:p>
    <w:p w14:paraId="6FE2B43D" w14:textId="77777777" w:rsidR="00EB49E9" w:rsidRPr="00EB49E9" w:rsidRDefault="00EB49E9" w:rsidP="00EB49E9">
      <w:pPr>
        <w:pBdr>
          <w:top w:val="nil"/>
          <w:left w:val="nil"/>
          <w:bottom w:val="nil"/>
          <w:right w:val="nil"/>
          <w:between w:val="nil"/>
        </w:pBdr>
        <w:rPr>
          <w:color w:val="000000"/>
        </w:rPr>
      </w:pPr>
      <w:r w:rsidRPr="00EB49E9">
        <w:rPr>
          <w:color w:val="000000"/>
        </w:rPr>
        <w:t>National Institute on Alcohol Abuse and Alcoholism. 2007. - Alcohol and Tobacco </w:t>
      </w:r>
      <w:hyperlink r:id="rId25">
        <w:r w:rsidRPr="00EB49E9">
          <w:rPr>
            <w:color w:val="0563C1"/>
            <w:u w:val="single"/>
          </w:rPr>
          <w:t>https://pubs.niaaa.nih.gov/publications/aa71/aa71.htm</w:t>
        </w:r>
      </w:hyperlink>
      <w:r w:rsidRPr="00EB49E9">
        <w:rPr>
          <w:color w:val="000000"/>
        </w:rPr>
        <w:t xml:space="preserve">. </w:t>
      </w:r>
    </w:p>
    <w:p w14:paraId="672973FB" w14:textId="77777777" w:rsidR="00EB49E9" w:rsidRPr="00EB49E9" w:rsidRDefault="00EB49E9" w:rsidP="00EB49E9">
      <w:pPr>
        <w:pBdr>
          <w:top w:val="nil"/>
          <w:left w:val="nil"/>
          <w:bottom w:val="nil"/>
          <w:right w:val="nil"/>
          <w:between w:val="nil"/>
        </w:pBdr>
        <w:rPr>
          <w:color w:val="000000"/>
        </w:rPr>
      </w:pPr>
      <w:r w:rsidRPr="00EB49E9">
        <w:rPr>
          <w:color w:val="000000"/>
        </w:rPr>
        <w:t xml:space="preserve">NSW Refugee Health Service and STARTTS (NSW Service for the Treatment and Rehabilitation of Torture and Trauma Survivors). 2014. </w:t>
      </w:r>
      <w:r w:rsidRPr="00EB49E9">
        <w:rPr>
          <w:i/>
          <w:color w:val="000000"/>
        </w:rPr>
        <w:t>Working with refugees: a guide for social workers</w:t>
      </w:r>
      <w:r w:rsidRPr="00EB49E9">
        <w:rPr>
          <w:color w:val="000000"/>
        </w:rPr>
        <w:t xml:space="preserve">. Retrieved from: </w:t>
      </w:r>
      <w:hyperlink r:id="rId26">
        <w:r w:rsidRPr="00EB49E9">
          <w:rPr>
            <w:color w:val="0563C1"/>
            <w:u w:val="single"/>
          </w:rPr>
          <w:t>https://www.startts.org.au/media/Resource-Working-with-Refugees-Social-Worker-Guide.pdf</w:t>
        </w:r>
      </w:hyperlink>
    </w:p>
    <w:p w14:paraId="3C534CB6" w14:textId="77777777" w:rsidR="00EB49E9" w:rsidRPr="00EB49E9" w:rsidRDefault="00EB49E9" w:rsidP="00EB49E9">
      <w:pPr>
        <w:pBdr>
          <w:top w:val="nil"/>
          <w:left w:val="nil"/>
          <w:bottom w:val="nil"/>
          <w:right w:val="nil"/>
          <w:between w:val="nil"/>
        </w:pBdr>
        <w:rPr>
          <w:color w:val="000000"/>
        </w:rPr>
      </w:pPr>
      <w:r w:rsidRPr="00EB49E9">
        <w:rPr>
          <w:color w:val="000000"/>
        </w:rPr>
        <w:lastRenderedPageBreak/>
        <w:t xml:space="preserve">P.J. Shannon, E. </w:t>
      </w:r>
      <w:proofErr w:type="spellStart"/>
      <w:r w:rsidRPr="00EB49E9">
        <w:rPr>
          <w:color w:val="000000"/>
        </w:rPr>
        <w:t>Wieling</w:t>
      </w:r>
      <w:proofErr w:type="spellEnd"/>
      <w:r w:rsidRPr="00EB49E9">
        <w:rPr>
          <w:color w:val="000000"/>
        </w:rPr>
        <w:t xml:space="preserve">, </w:t>
      </w:r>
      <w:proofErr w:type="spellStart"/>
      <w:proofErr w:type="gramStart"/>
      <w:r w:rsidRPr="00EB49E9">
        <w:rPr>
          <w:color w:val="000000"/>
        </w:rPr>
        <w:t>J.Simmelink</w:t>
      </w:r>
      <w:proofErr w:type="spellEnd"/>
      <w:proofErr w:type="gramEnd"/>
      <w:r w:rsidRPr="00EB49E9">
        <w:rPr>
          <w:color w:val="000000"/>
        </w:rPr>
        <w:t xml:space="preserve">-McCleary, E. Becher. 2014. </w:t>
      </w:r>
      <w:r w:rsidRPr="00EB49E9">
        <w:rPr>
          <w:i/>
          <w:color w:val="000000"/>
        </w:rPr>
        <w:t>Beyond Stigma: Barriers to Discussing Mental Health in Refugee Populations</w:t>
      </w:r>
      <w:r w:rsidRPr="00EB49E9">
        <w:rPr>
          <w:color w:val="000000"/>
        </w:rPr>
        <w:t>, Journal of Loss and Trauma International Perspectives on Stress &amp; Coping, Taylor and Francis Online.</w:t>
      </w:r>
    </w:p>
    <w:p w14:paraId="62B2A480" w14:textId="77777777" w:rsidR="00EB49E9" w:rsidRPr="00EB49E9" w:rsidRDefault="00EB49E9" w:rsidP="00EB49E9">
      <w:pPr>
        <w:pBdr>
          <w:top w:val="nil"/>
          <w:left w:val="nil"/>
          <w:bottom w:val="nil"/>
          <w:right w:val="nil"/>
          <w:between w:val="nil"/>
        </w:pBdr>
        <w:rPr>
          <w:color w:val="000000"/>
        </w:rPr>
      </w:pPr>
      <w:r w:rsidRPr="00EB49E9">
        <w:rPr>
          <w:color w:val="000000"/>
        </w:rPr>
        <w:t>Saunders J, Smith T. 2010, Malnutrition: causes and consequences. Clin Med. 2010;10(6):624-627. doi:10.7861/clinmedicine.10-6-624</w:t>
      </w:r>
    </w:p>
    <w:p w14:paraId="7A5DC027" w14:textId="77777777" w:rsidR="00EB49E9" w:rsidRPr="00EB49E9" w:rsidRDefault="00EB49E9" w:rsidP="00EB49E9">
      <w:pPr>
        <w:pBdr>
          <w:top w:val="nil"/>
          <w:left w:val="nil"/>
          <w:bottom w:val="nil"/>
          <w:right w:val="nil"/>
          <w:between w:val="nil"/>
        </w:pBdr>
        <w:spacing w:line="276" w:lineRule="auto"/>
        <w:jc w:val="left"/>
        <w:rPr>
          <w:color w:val="000000"/>
        </w:rPr>
      </w:pPr>
      <w:r w:rsidRPr="00EB49E9">
        <w:rPr>
          <w:color w:val="000000"/>
        </w:rPr>
        <w:t>WHO. n.d. Chapter 8 - Personal, domestic and community hygiene.</w:t>
      </w:r>
    </w:p>
    <w:p w14:paraId="79A18975" w14:textId="77777777" w:rsidR="00EB49E9" w:rsidRPr="00EB49E9" w:rsidRDefault="00EB49E9" w:rsidP="00EB49E9">
      <w:pPr>
        <w:pBdr>
          <w:top w:val="nil"/>
          <w:left w:val="nil"/>
          <w:bottom w:val="nil"/>
          <w:right w:val="nil"/>
          <w:between w:val="nil"/>
        </w:pBdr>
        <w:spacing w:line="276" w:lineRule="auto"/>
        <w:jc w:val="left"/>
        <w:rPr>
          <w:color w:val="000000"/>
        </w:rPr>
      </w:pPr>
      <w:r w:rsidRPr="00EB49E9">
        <w:rPr>
          <w:color w:val="000000"/>
        </w:rPr>
        <w:t> </w:t>
      </w:r>
      <w:hyperlink r:id="rId27">
        <w:r w:rsidRPr="00EB49E9">
          <w:rPr>
            <w:color w:val="0563C1"/>
            <w:u w:val="single"/>
          </w:rPr>
          <w:t>https://www.who.int/water_sanitation_health/hygiene/settings/hvchap8.pdf</w:t>
        </w:r>
      </w:hyperlink>
    </w:p>
    <w:p w14:paraId="45233FEB" w14:textId="77777777" w:rsidR="00EB49E9" w:rsidRPr="00EB49E9" w:rsidRDefault="00EB49E9" w:rsidP="00EB49E9">
      <w:pPr>
        <w:pBdr>
          <w:top w:val="nil"/>
          <w:left w:val="nil"/>
          <w:bottom w:val="nil"/>
          <w:right w:val="nil"/>
          <w:between w:val="nil"/>
        </w:pBdr>
        <w:jc w:val="left"/>
        <w:rPr>
          <w:color w:val="000000"/>
        </w:rPr>
      </w:pPr>
      <w:r w:rsidRPr="00EB49E9">
        <w:rPr>
          <w:color w:val="000000"/>
        </w:rPr>
        <w:t xml:space="preserve">WHO. n.d. Migration and Health: Key Issues.  </w:t>
      </w:r>
      <w:hyperlink r:id="rId28">
        <w:r w:rsidRPr="00EB49E9">
          <w:rPr>
            <w:color w:val="0563C1"/>
            <w:u w:val="single"/>
          </w:rPr>
          <w:t xml:space="preserve">https://www.euro.who.int/__data/assets/pdf_file/0005/293270/Migration-Health-Key-Issues-.pdf </w:t>
        </w:r>
      </w:hyperlink>
    </w:p>
    <w:p w14:paraId="7458024B" w14:textId="77777777" w:rsidR="00EB49E9" w:rsidRPr="00EB49E9" w:rsidRDefault="00EB49E9" w:rsidP="00EB49E9">
      <w:pPr>
        <w:pBdr>
          <w:top w:val="nil"/>
          <w:left w:val="nil"/>
          <w:bottom w:val="nil"/>
          <w:right w:val="nil"/>
          <w:between w:val="nil"/>
        </w:pBdr>
        <w:jc w:val="left"/>
        <w:rPr>
          <w:color w:val="000000"/>
        </w:rPr>
      </w:pPr>
      <w:bookmarkStart w:id="6" w:name="_heading=h.35nkun2" w:colFirst="0" w:colLast="0"/>
      <w:bookmarkEnd w:id="6"/>
      <w:r w:rsidRPr="00EB49E9">
        <w:rPr>
          <w:color w:val="000000"/>
        </w:rPr>
        <w:t xml:space="preserve">WHO. 2013. Vaccine Safety Basics: Learning Manual. SAFETY. </w:t>
      </w:r>
      <w:hyperlink r:id="rId29">
        <w:r w:rsidRPr="00EB49E9">
          <w:rPr>
            <w:color w:val="0563C1"/>
            <w:u w:val="single"/>
          </w:rPr>
          <w:t>https://www.who.int/vaccine_safety/initiative/tech_support/Vaccine-safety-E-course-manual.pdf</w:t>
        </w:r>
      </w:hyperlink>
      <w:r w:rsidRPr="00EB49E9">
        <w:rPr>
          <w:color w:val="000000"/>
        </w:rPr>
        <w:t xml:space="preserve"> </w:t>
      </w:r>
    </w:p>
    <w:p w14:paraId="6F5CF4F9" w14:textId="77777777" w:rsidR="00EB49E9" w:rsidRPr="00EB49E9" w:rsidRDefault="00EB49E9" w:rsidP="00EB49E9">
      <w:pPr>
        <w:pBdr>
          <w:top w:val="nil"/>
          <w:left w:val="nil"/>
          <w:bottom w:val="nil"/>
          <w:right w:val="nil"/>
          <w:between w:val="nil"/>
        </w:pBdr>
        <w:rPr>
          <w:color w:val="000000"/>
        </w:rPr>
      </w:pPr>
      <w:r w:rsidRPr="00EB49E9">
        <w:rPr>
          <w:color w:val="000000"/>
        </w:rPr>
        <w:t>WHO. 2018. Nutrition. </w:t>
      </w:r>
      <w:hyperlink r:id="rId30">
        <w:r w:rsidRPr="00EB49E9">
          <w:rPr>
            <w:color w:val="0563C1"/>
            <w:u w:val="single"/>
          </w:rPr>
          <w:t>https://www.who.int/news-room/facts-in-pictures/detail/nutrition</w:t>
        </w:r>
      </w:hyperlink>
    </w:p>
    <w:p w14:paraId="5C2EECDE" w14:textId="77777777" w:rsidR="00EB49E9" w:rsidRPr="00EB49E9" w:rsidRDefault="00EB49E9" w:rsidP="00EB49E9">
      <w:pPr>
        <w:pBdr>
          <w:top w:val="nil"/>
          <w:left w:val="nil"/>
          <w:bottom w:val="nil"/>
          <w:right w:val="nil"/>
          <w:between w:val="nil"/>
        </w:pBdr>
        <w:rPr>
          <w:color w:val="000000"/>
          <w:lang w:val="de-DE"/>
        </w:rPr>
      </w:pPr>
      <w:r w:rsidRPr="00EB49E9">
        <w:rPr>
          <w:color w:val="000000"/>
        </w:rPr>
        <w:t xml:space="preserve">WHO. 2018. Report on the health of refugees and migrants in the WHO European Region: no public health without refugee and migrant health. </w:t>
      </w:r>
      <w:r w:rsidRPr="00EB49E9">
        <w:rPr>
          <w:color w:val="000000"/>
          <w:lang w:val="de-DE"/>
        </w:rPr>
        <w:t xml:space="preserve">ISBN 978 92 890 5384 6. </w:t>
      </w:r>
      <w:hyperlink r:id="rId31">
        <w:r w:rsidRPr="00EB49E9">
          <w:rPr>
            <w:color w:val="0563C1"/>
            <w:u w:val="single"/>
            <w:lang w:val="de-DE"/>
          </w:rPr>
          <w:t>https://www.euro.who.int/en/health-topics/health-determinants/migration-and-health/publications/2018/report-on-the-health-of-refugees-and-migrants-in-the-who-european-region-no-public-health-without-refugee-and-migrant-health-2018</w:t>
        </w:r>
      </w:hyperlink>
      <w:r w:rsidRPr="00EB49E9">
        <w:rPr>
          <w:color w:val="000000"/>
          <w:lang w:val="de-DE"/>
        </w:rPr>
        <w:t xml:space="preserve"> </w:t>
      </w:r>
    </w:p>
    <w:p w14:paraId="0F41D698" w14:textId="77777777" w:rsidR="00EB49E9" w:rsidRPr="00EB49E9" w:rsidRDefault="00EB49E9" w:rsidP="00EB49E9">
      <w:pPr>
        <w:pBdr>
          <w:top w:val="nil"/>
          <w:left w:val="nil"/>
          <w:bottom w:val="nil"/>
          <w:right w:val="nil"/>
          <w:between w:val="nil"/>
        </w:pBdr>
        <w:rPr>
          <w:color w:val="000000"/>
        </w:rPr>
      </w:pPr>
      <w:r w:rsidRPr="00EB49E9">
        <w:rPr>
          <w:color w:val="000000"/>
        </w:rPr>
        <w:t xml:space="preserve">WHO. 2019. </w:t>
      </w:r>
      <w:hyperlink r:id="rId32">
        <w:r w:rsidRPr="00EB49E9">
          <w:rPr>
            <w:color w:val="0563C1"/>
            <w:u w:val="single"/>
          </w:rPr>
          <w:t>https://www.who.int/news-room/facts-in-pictures/detail/immunization</w:t>
        </w:r>
      </w:hyperlink>
    </w:p>
    <w:p w14:paraId="6BD245CE" w14:textId="77777777" w:rsidR="00EB49E9" w:rsidRPr="00EB49E9" w:rsidRDefault="00EB49E9" w:rsidP="00EB49E9">
      <w:pPr>
        <w:pBdr>
          <w:top w:val="nil"/>
          <w:left w:val="nil"/>
          <w:bottom w:val="nil"/>
          <w:right w:val="nil"/>
          <w:between w:val="nil"/>
        </w:pBdr>
        <w:rPr>
          <w:color w:val="000000"/>
        </w:rPr>
      </w:pPr>
      <w:r w:rsidRPr="00EB49E9">
        <w:rPr>
          <w:color w:val="000000"/>
        </w:rPr>
        <w:t>WHO. 2019. Vaccines and immunizations. </w:t>
      </w:r>
      <w:hyperlink r:id="rId33">
        <w:r w:rsidRPr="00EB49E9">
          <w:rPr>
            <w:color w:val="0563C1"/>
            <w:u w:val="single"/>
          </w:rPr>
          <w:t>https://www.who.int/health-topics/vaccines-and-immunization#tab=tab_1</w:t>
        </w:r>
      </w:hyperlink>
    </w:p>
    <w:p w14:paraId="7CCCDFB3" w14:textId="77777777" w:rsidR="00EB49E9" w:rsidRPr="00EB49E9" w:rsidRDefault="00EB49E9" w:rsidP="00EB49E9">
      <w:pPr>
        <w:pBdr>
          <w:top w:val="nil"/>
          <w:left w:val="nil"/>
          <w:bottom w:val="nil"/>
          <w:right w:val="nil"/>
          <w:between w:val="nil"/>
        </w:pBdr>
        <w:rPr>
          <w:color w:val="000000"/>
        </w:rPr>
      </w:pPr>
      <w:r w:rsidRPr="00EB49E9">
        <w:rPr>
          <w:color w:val="000000"/>
        </w:rPr>
        <w:t xml:space="preserve">WHO. 2021. Vaccines and immunization: What is vaccination? https://www.who.int/news-room/questions-and-answers/item/vaccines-and-immunization-what-is-vaccination. </w:t>
      </w:r>
    </w:p>
    <w:p w14:paraId="5AAEDD92" w14:textId="77777777" w:rsidR="00EB49E9" w:rsidRPr="00EB49E9" w:rsidRDefault="00EB49E9" w:rsidP="00EB49E9">
      <w:pPr>
        <w:pBdr>
          <w:top w:val="nil"/>
          <w:left w:val="nil"/>
          <w:bottom w:val="nil"/>
          <w:right w:val="nil"/>
          <w:between w:val="nil"/>
        </w:pBdr>
        <w:rPr>
          <w:color w:val="000000"/>
        </w:rPr>
      </w:pPr>
      <w:r w:rsidRPr="00EB49E9">
        <w:rPr>
          <w:color w:val="000000"/>
        </w:rPr>
        <w:t>UNICEF. 2020. Immunization. </w:t>
      </w:r>
      <w:hyperlink r:id="rId34">
        <w:r w:rsidRPr="00EB49E9">
          <w:rPr>
            <w:color w:val="0563C1"/>
            <w:u w:val="single"/>
          </w:rPr>
          <w:t>https://www.unicef.org/eca/health/immunization</w:t>
        </w:r>
      </w:hyperlink>
      <w:r w:rsidRPr="00EB49E9">
        <w:rPr>
          <w:color w:val="000000"/>
        </w:rPr>
        <w:t xml:space="preserve">. </w:t>
      </w:r>
    </w:p>
    <w:p w14:paraId="01771A83" w14:textId="77777777" w:rsidR="00EB49E9" w:rsidRPr="00EB49E9" w:rsidRDefault="00EB49E9" w:rsidP="00EB49E9">
      <w:pPr>
        <w:pBdr>
          <w:top w:val="nil"/>
          <w:left w:val="nil"/>
          <w:bottom w:val="nil"/>
          <w:right w:val="nil"/>
          <w:between w:val="nil"/>
        </w:pBdr>
        <w:rPr>
          <w:color w:val="000000"/>
        </w:rPr>
      </w:pPr>
      <w:r w:rsidRPr="00EB49E9">
        <w:rPr>
          <w:color w:val="000000"/>
        </w:rPr>
        <w:t xml:space="preserve">UNHCR. 2015. </w:t>
      </w:r>
      <w:r w:rsidRPr="00EB49E9">
        <w:rPr>
          <w:i/>
          <w:color w:val="000000"/>
        </w:rPr>
        <w:t>Culture, Context and the Mental Health and Psychosocial Wellbeing of Syrians. A Review for Mental Health and Psychosocial Support staff Working with Syrians Affected by Armed Conflict</w:t>
      </w:r>
      <w:r w:rsidRPr="00EB49E9">
        <w:rPr>
          <w:color w:val="000000"/>
        </w:rPr>
        <w:t xml:space="preserve">. Retrieved from: </w:t>
      </w:r>
      <w:hyperlink r:id="rId35">
        <w:r w:rsidRPr="00EB49E9">
          <w:rPr>
            <w:color w:val="0563C1"/>
            <w:u w:val="single"/>
          </w:rPr>
          <w:t>https://www.unhcr.org/55f6b90f9.pdf</w:t>
        </w:r>
      </w:hyperlink>
    </w:p>
    <w:p w14:paraId="5140B95A" w14:textId="77777777" w:rsidR="00EB49E9" w:rsidRPr="00EB49E9" w:rsidRDefault="00EB49E9" w:rsidP="00EB49E9">
      <w:pPr>
        <w:pBdr>
          <w:top w:val="nil"/>
          <w:left w:val="nil"/>
          <w:bottom w:val="nil"/>
          <w:right w:val="nil"/>
          <w:between w:val="nil"/>
        </w:pBdr>
        <w:rPr>
          <w:color w:val="000000"/>
        </w:rPr>
      </w:pPr>
      <w:r w:rsidRPr="00EB49E9">
        <w:rPr>
          <w:color w:val="000000"/>
        </w:rPr>
        <w:lastRenderedPageBreak/>
        <w:t xml:space="preserve">UNHCR, IOM, MHPSS. 2015. </w:t>
      </w:r>
      <w:r w:rsidRPr="00EB49E9">
        <w:rPr>
          <w:i/>
          <w:color w:val="000000"/>
        </w:rPr>
        <w:t>Mental Health and Psychosocial Support for Refugees, Asylum Seekers and Migrants on the Move in Europe. A multi-agency guidance note</w:t>
      </w:r>
      <w:r w:rsidRPr="00EB49E9">
        <w:rPr>
          <w:color w:val="000000"/>
        </w:rPr>
        <w:t xml:space="preserve">. Retrieved from: </w:t>
      </w:r>
      <w:hyperlink r:id="rId36">
        <w:r w:rsidRPr="00EB49E9">
          <w:rPr>
            <w:color w:val="0563C1"/>
            <w:u w:val="single"/>
          </w:rPr>
          <w:t>http://www.euro.who.int/en/health-topics/health-determinants/migration-and-health/publications/2016/mental-health-and-psychosocial-support-for-refugees,-asylum-seekers-and-migrants-on-the-move-in-europe.-a-multi-agency-guidance-note-2015</w:t>
        </w:r>
      </w:hyperlink>
    </w:p>
    <w:p w14:paraId="3B13A084" w14:textId="77777777" w:rsidR="00D3767C" w:rsidRPr="005A55D8" w:rsidRDefault="00D3767C">
      <w:pPr>
        <w:pBdr>
          <w:top w:val="nil"/>
          <w:left w:val="nil"/>
          <w:bottom w:val="nil"/>
          <w:right w:val="nil"/>
          <w:between w:val="nil"/>
        </w:pBdr>
        <w:rPr>
          <w:color w:val="000000"/>
          <w:sz w:val="24"/>
          <w:szCs w:val="24"/>
          <w:lang w:val="it-IT"/>
        </w:rPr>
      </w:pPr>
    </w:p>
    <w:p w14:paraId="7B01BFB1" w14:textId="77777777" w:rsidR="00D3767C" w:rsidRPr="005A55D8" w:rsidRDefault="00D3767C">
      <w:pPr>
        <w:pBdr>
          <w:top w:val="nil"/>
          <w:left w:val="nil"/>
          <w:bottom w:val="nil"/>
          <w:right w:val="nil"/>
          <w:between w:val="nil"/>
        </w:pBdr>
        <w:rPr>
          <w:color w:val="000000"/>
          <w:sz w:val="24"/>
          <w:szCs w:val="24"/>
          <w:lang w:val="it-IT"/>
        </w:rPr>
      </w:pPr>
    </w:p>
    <w:p w14:paraId="0D23DE0B" w14:textId="77777777" w:rsidR="00D3767C" w:rsidRPr="005A55D8" w:rsidRDefault="00D3767C">
      <w:pPr>
        <w:pBdr>
          <w:top w:val="nil"/>
          <w:left w:val="nil"/>
          <w:bottom w:val="nil"/>
          <w:right w:val="nil"/>
          <w:between w:val="nil"/>
        </w:pBdr>
        <w:rPr>
          <w:color w:val="000000"/>
          <w:sz w:val="24"/>
          <w:szCs w:val="24"/>
          <w:lang w:val="it-IT"/>
        </w:rPr>
      </w:pPr>
      <w:bookmarkStart w:id="7" w:name="_heading=h.lnxbz9" w:colFirst="0" w:colLast="0"/>
      <w:bookmarkEnd w:id="7"/>
    </w:p>
    <w:sectPr w:rsidR="00D3767C" w:rsidRPr="005A55D8">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38D20" w14:textId="77777777" w:rsidR="00B076E8" w:rsidRDefault="00B076E8">
      <w:pPr>
        <w:spacing w:after="0" w:line="240" w:lineRule="auto"/>
      </w:pPr>
      <w:r>
        <w:separator/>
      </w:r>
    </w:p>
  </w:endnote>
  <w:endnote w:type="continuationSeparator" w:id="0">
    <w:p w14:paraId="1AB6DDEB" w14:textId="77777777" w:rsidR="00B076E8" w:rsidRDefault="00B07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Regular">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ABDE2" w14:textId="77777777" w:rsidR="00D3767C" w:rsidRDefault="00D3767C">
    <w:pPr>
      <w:pBdr>
        <w:top w:val="nil"/>
        <w:left w:val="nil"/>
        <w:bottom w:val="nil"/>
        <w:right w:val="nil"/>
        <w:between w:val="nil"/>
      </w:pBdr>
      <w:tabs>
        <w:tab w:val="center" w:pos="4536"/>
        <w:tab w:val="right" w:pos="9072"/>
      </w:tabs>
      <w:spacing w:after="0" w:line="240" w:lineRule="auto"/>
      <w:rPr>
        <w:color w:val="000000"/>
      </w:rPr>
    </w:pPr>
  </w:p>
  <w:p w14:paraId="04B33CD5" w14:textId="77777777" w:rsidR="00D3767C" w:rsidRDefault="00D3767C">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20D36" w14:textId="77777777" w:rsidR="00B076E8" w:rsidRDefault="00B076E8">
      <w:pPr>
        <w:spacing w:after="0" w:line="240" w:lineRule="auto"/>
      </w:pPr>
      <w:r>
        <w:separator/>
      </w:r>
    </w:p>
  </w:footnote>
  <w:footnote w:type="continuationSeparator" w:id="0">
    <w:p w14:paraId="6EBC65DB" w14:textId="77777777" w:rsidR="00B076E8" w:rsidRDefault="00B07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9FC03" w14:textId="77777777" w:rsidR="00D3767C" w:rsidRDefault="00775C71">
    <w:pPr>
      <w:ind w:left="-284"/>
      <w:rPr>
        <w:b/>
        <w:i/>
        <w:sz w:val="24"/>
        <w:szCs w:val="24"/>
      </w:rPr>
    </w:pPr>
    <w:r>
      <w:rPr>
        <w:noProof/>
      </w:rPr>
      <w:drawing>
        <wp:inline distT="0" distB="0" distL="0" distR="0" wp14:anchorId="3777A30F" wp14:editId="03B754A3">
          <wp:extent cx="2614930" cy="745808"/>
          <wp:effectExtent l="0" t="0" r="0" b="0"/>
          <wp:docPr id="13" name="image4.png" descr="Logo EU Erasmus+"/>
          <wp:cNvGraphicFramePr/>
          <a:graphic xmlns:a="http://schemas.openxmlformats.org/drawingml/2006/main">
            <a:graphicData uri="http://schemas.openxmlformats.org/drawingml/2006/picture">
              <pic:pic xmlns:pic="http://schemas.openxmlformats.org/drawingml/2006/picture">
                <pic:nvPicPr>
                  <pic:cNvPr id="0" name="image4.png" descr="Logo EU Erasmus+"/>
                  <pic:cNvPicPr preferRelativeResize="0"/>
                </pic:nvPicPr>
                <pic:blipFill>
                  <a:blip r:embed="rId1"/>
                  <a:srcRect/>
                  <a:stretch>
                    <a:fillRect/>
                  </a:stretch>
                </pic:blipFill>
                <pic:spPr>
                  <a:xfrm>
                    <a:off x="0" y="0"/>
                    <a:ext cx="2614930" cy="745808"/>
                  </a:xfrm>
                  <a:prstGeom prst="rect">
                    <a:avLst/>
                  </a:prstGeom>
                  <a:ln/>
                </pic:spPr>
              </pic:pic>
            </a:graphicData>
          </a:graphic>
        </wp:inline>
      </w:drawing>
    </w:r>
    <w:r w:rsidR="00000000">
      <w:pict w14:anchorId="5D13C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42.75pt">
          <v:imagedata r:id="rId2" o:title="logo-full-700x185"/>
        </v:shape>
      </w:pict>
    </w:r>
    <w:r>
      <w:br/>
    </w:r>
    <w:r>
      <w:rPr>
        <w:b/>
        <w:i/>
        <w:sz w:val="24"/>
        <w:szCs w:val="24"/>
      </w:rPr>
      <w:t xml:space="preserve">                                           </w:t>
    </w:r>
    <w:proofErr w:type="spellStart"/>
    <w:r>
      <w:rPr>
        <w:b/>
        <w:i/>
        <w:sz w:val="24"/>
        <w:szCs w:val="24"/>
      </w:rPr>
      <w:t>Contratto</w:t>
    </w:r>
    <w:proofErr w:type="spellEnd"/>
    <w:r>
      <w:rPr>
        <w:b/>
        <w:i/>
        <w:sz w:val="24"/>
        <w:szCs w:val="24"/>
      </w:rPr>
      <w:t xml:space="preserve"> n. 2020-1-DE02-KA204-007679</w:t>
    </w:r>
  </w:p>
  <w:p w14:paraId="26254FEB" w14:textId="77777777" w:rsidR="00D3767C" w:rsidRDefault="00D3767C">
    <w:pPr>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6227B"/>
    <w:multiLevelType w:val="hybridMultilevel"/>
    <w:tmpl w:val="252EA062"/>
    <w:lvl w:ilvl="0" w:tplc="18A259C4">
      <w:start w:val="1"/>
      <w:numFmt w:val="bullet"/>
      <w:lvlText w:val=""/>
      <w:lvlJc w:val="left"/>
      <w:pPr>
        <w:ind w:left="587" w:hanging="360"/>
      </w:pPr>
      <w:rPr>
        <w:rFonts w:ascii="Wingdings" w:hAnsi="Wingdings" w:hint="default"/>
        <w:color w:val="C00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4E3CF0"/>
    <w:multiLevelType w:val="multilevel"/>
    <w:tmpl w:val="FB4E7FA4"/>
    <w:lvl w:ilvl="0">
      <w:start w:val="1"/>
      <w:numFmt w:val="bullet"/>
      <w:lvlText w:val="▪"/>
      <w:lvlJc w:val="left"/>
      <w:pPr>
        <w:ind w:left="587" w:hanging="360"/>
      </w:pPr>
      <w:rPr>
        <w:rFonts w:ascii="Noto Sans Symbols" w:eastAsia="Noto Sans Symbols" w:hAnsi="Noto Sans Symbols" w:cs="Noto Sans Symbols"/>
        <w:color w:val="C00000"/>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5656B61"/>
    <w:multiLevelType w:val="multilevel"/>
    <w:tmpl w:val="71EE13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18649369">
    <w:abstractNumId w:val="2"/>
  </w:num>
  <w:num w:numId="2" w16cid:durableId="570195806">
    <w:abstractNumId w:val="1"/>
  </w:num>
  <w:num w:numId="3" w16cid:durableId="387263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67C"/>
    <w:rsid w:val="0053430C"/>
    <w:rsid w:val="005A55D8"/>
    <w:rsid w:val="005C6FD8"/>
    <w:rsid w:val="0066247A"/>
    <w:rsid w:val="00683484"/>
    <w:rsid w:val="00736EFE"/>
    <w:rsid w:val="00775C71"/>
    <w:rsid w:val="00783FED"/>
    <w:rsid w:val="009251FC"/>
    <w:rsid w:val="009B67C4"/>
    <w:rsid w:val="00A5138B"/>
    <w:rsid w:val="00B076E8"/>
    <w:rsid w:val="00B54A2C"/>
    <w:rsid w:val="00D3767C"/>
    <w:rsid w:val="00EB49E9"/>
    <w:rsid w:val="00F029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0EF1C"/>
  <w15:docId w15:val="{B7A2FF08-95C3-4A04-954B-195E7F4FF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it-IT"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243A"/>
  </w:style>
  <w:style w:type="paragraph" w:styleId="1">
    <w:name w:val="heading 1"/>
    <w:basedOn w:val="a"/>
    <w:next w:val="a"/>
    <w:link w:val="1Char"/>
    <w:uiPriority w:val="9"/>
    <w:qFormat/>
    <w:rsid w:val="000A67C3"/>
    <w:pPr>
      <w:keepNext/>
      <w:keepLines/>
      <w:spacing w:before="240" w:after="0"/>
      <w:jc w:val="center"/>
      <w:outlineLvl w:val="0"/>
    </w:pPr>
    <w:rPr>
      <w:rFonts w:eastAsiaTheme="majorEastAsia" w:cstheme="majorBidi"/>
      <w:b/>
      <w:sz w:val="24"/>
      <w:szCs w:val="32"/>
    </w:rPr>
  </w:style>
  <w:style w:type="paragraph" w:styleId="2">
    <w:name w:val="heading 2"/>
    <w:basedOn w:val="a"/>
    <w:next w:val="a"/>
    <w:link w:val="2Char"/>
    <w:uiPriority w:val="9"/>
    <w:unhideWhenUsed/>
    <w:qFormat/>
    <w:rsid w:val="000A67C3"/>
    <w:pPr>
      <w:keepNext/>
      <w:keepLines/>
      <w:spacing w:before="40" w:after="0"/>
      <w:jc w:val="left"/>
      <w:outlineLvl w:val="1"/>
    </w:pPr>
    <w:rPr>
      <w:rFonts w:eastAsiaTheme="majorEastAsia" w:cstheme="majorBidi"/>
      <w:b/>
      <w:sz w:val="24"/>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aliases w:val="heading 3"/>
    <w:basedOn w:val="a"/>
    <w:next w:val="a"/>
    <w:link w:val="Char"/>
    <w:uiPriority w:val="10"/>
    <w:qFormat/>
    <w:rsid w:val="000A67C3"/>
    <w:pPr>
      <w:spacing w:after="0" w:line="240" w:lineRule="auto"/>
      <w:contextualSpacing/>
      <w:jc w:val="left"/>
    </w:pPr>
    <w:rPr>
      <w:rFonts w:eastAsiaTheme="majorEastAsia" w:cstheme="majorBidi"/>
      <w:i/>
      <w:spacing w:val="-10"/>
      <w:kern w:val="28"/>
      <w:sz w:val="24"/>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customStyle="1" w:styleId="1Char">
    <w:name w:val="Επικεφαλίδα 1 Char"/>
    <w:basedOn w:val="a0"/>
    <w:link w:val="1"/>
    <w:uiPriority w:val="9"/>
    <w:rsid w:val="000A67C3"/>
    <w:rPr>
      <w:rFonts w:ascii="Calibri" w:eastAsiaTheme="majorEastAsia" w:hAnsi="Calibri" w:cstheme="majorBidi"/>
      <w:b/>
      <w:sz w:val="24"/>
      <w:szCs w:val="32"/>
    </w:rPr>
  </w:style>
  <w:style w:type="paragraph" w:styleId="a4">
    <w:name w:val="header"/>
    <w:basedOn w:val="a"/>
    <w:link w:val="Char0"/>
    <w:uiPriority w:val="99"/>
    <w:unhideWhenUsed/>
    <w:rsid w:val="000A67C3"/>
    <w:pPr>
      <w:tabs>
        <w:tab w:val="center" w:pos="4536"/>
        <w:tab w:val="right" w:pos="9072"/>
      </w:tabs>
      <w:spacing w:after="0" w:line="240" w:lineRule="auto"/>
    </w:pPr>
  </w:style>
  <w:style w:type="character" w:customStyle="1" w:styleId="Char0">
    <w:name w:val="Κεφαλίδα Char"/>
    <w:basedOn w:val="a0"/>
    <w:link w:val="a4"/>
    <w:uiPriority w:val="99"/>
    <w:rsid w:val="000A67C3"/>
    <w:rPr>
      <w:rFonts w:ascii="Arial" w:hAnsi="Arial"/>
    </w:rPr>
  </w:style>
  <w:style w:type="paragraph" w:styleId="a5">
    <w:name w:val="footer"/>
    <w:basedOn w:val="a"/>
    <w:link w:val="Char1"/>
    <w:uiPriority w:val="99"/>
    <w:unhideWhenUsed/>
    <w:rsid w:val="000A67C3"/>
    <w:pPr>
      <w:tabs>
        <w:tab w:val="center" w:pos="4536"/>
        <w:tab w:val="right" w:pos="9072"/>
      </w:tabs>
      <w:spacing w:after="0" w:line="240" w:lineRule="auto"/>
    </w:pPr>
  </w:style>
  <w:style w:type="character" w:customStyle="1" w:styleId="Char1">
    <w:name w:val="Υποσέλιδο Char"/>
    <w:basedOn w:val="a0"/>
    <w:link w:val="a5"/>
    <w:uiPriority w:val="99"/>
    <w:rsid w:val="000A67C3"/>
    <w:rPr>
      <w:rFonts w:ascii="Arial" w:hAnsi="Arial"/>
    </w:rPr>
  </w:style>
  <w:style w:type="character" w:customStyle="1" w:styleId="2Char">
    <w:name w:val="Επικεφαλίδα 2 Char"/>
    <w:basedOn w:val="a0"/>
    <w:link w:val="2"/>
    <w:uiPriority w:val="9"/>
    <w:rsid w:val="000A67C3"/>
    <w:rPr>
      <w:rFonts w:ascii="Calibri" w:eastAsiaTheme="majorEastAsia" w:hAnsi="Calibri" w:cstheme="majorBidi"/>
      <w:b/>
      <w:sz w:val="24"/>
      <w:szCs w:val="26"/>
    </w:rPr>
  </w:style>
  <w:style w:type="character" w:customStyle="1" w:styleId="Char">
    <w:name w:val="Τίτλος Char"/>
    <w:aliases w:val="heading 3 Char"/>
    <w:basedOn w:val="a0"/>
    <w:link w:val="a3"/>
    <w:uiPriority w:val="10"/>
    <w:rsid w:val="000A67C3"/>
    <w:rPr>
      <w:rFonts w:ascii="Calibri" w:eastAsiaTheme="majorEastAsia" w:hAnsi="Calibri" w:cstheme="majorBidi"/>
      <w:i/>
      <w:spacing w:val="-10"/>
      <w:kern w:val="28"/>
      <w:sz w:val="24"/>
      <w:szCs w:val="56"/>
    </w:rPr>
  </w:style>
  <w:style w:type="paragraph" w:styleId="a6">
    <w:name w:val="List Paragraph"/>
    <w:basedOn w:val="a"/>
    <w:link w:val="Char2"/>
    <w:uiPriority w:val="34"/>
    <w:qFormat/>
    <w:rsid w:val="005B411B"/>
    <w:pPr>
      <w:ind w:left="720"/>
      <w:contextualSpacing/>
    </w:p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Web">
    <w:name w:val="Normal (Web)"/>
    <w:basedOn w:val="a"/>
    <w:uiPriority w:val="99"/>
    <w:unhideWhenUsed/>
    <w:rsid w:val="006B5612"/>
    <w:pPr>
      <w:spacing w:before="100" w:beforeAutospacing="1" w:after="100" w:afterAutospacing="1" w:line="240" w:lineRule="auto"/>
      <w:jc w:val="left"/>
    </w:pPr>
    <w:rPr>
      <w:rFonts w:ascii="Times New Roman" w:eastAsia="Times New Roman" w:hAnsi="Times New Roman" w:cs="Times New Roman"/>
      <w:sz w:val="24"/>
      <w:szCs w:val="24"/>
      <w:lang w:val="de-DE"/>
    </w:rPr>
  </w:style>
  <w:style w:type="character" w:styleId="-">
    <w:name w:val="Hyperlink"/>
    <w:basedOn w:val="a0"/>
    <w:uiPriority w:val="99"/>
    <w:unhideWhenUsed/>
    <w:rsid w:val="004F1D76"/>
    <w:rPr>
      <w:color w:val="0563C1" w:themeColor="hyperlink"/>
      <w:u w:val="single"/>
    </w:rPr>
  </w:style>
  <w:style w:type="paragraph" w:styleId="a8">
    <w:name w:val="TOC Heading"/>
    <w:basedOn w:val="1"/>
    <w:next w:val="a"/>
    <w:uiPriority w:val="39"/>
    <w:unhideWhenUsed/>
    <w:qFormat/>
    <w:rsid w:val="00A42903"/>
    <w:pPr>
      <w:spacing w:line="259" w:lineRule="auto"/>
      <w:jc w:val="left"/>
      <w:outlineLvl w:val="9"/>
    </w:pPr>
    <w:rPr>
      <w:rFonts w:asciiTheme="majorHAnsi" w:hAnsiTheme="majorHAnsi"/>
      <w:b w:val="0"/>
      <w:color w:val="2F5496" w:themeColor="accent1" w:themeShade="BF"/>
      <w:sz w:val="32"/>
      <w:lang w:val="de-DE"/>
    </w:rPr>
  </w:style>
  <w:style w:type="paragraph" w:styleId="10">
    <w:name w:val="toc 1"/>
    <w:basedOn w:val="a"/>
    <w:next w:val="a"/>
    <w:autoRedefine/>
    <w:uiPriority w:val="39"/>
    <w:unhideWhenUsed/>
    <w:rsid w:val="00A42903"/>
    <w:pPr>
      <w:spacing w:after="100"/>
    </w:pPr>
  </w:style>
  <w:style w:type="paragraph" w:styleId="20">
    <w:name w:val="toc 2"/>
    <w:basedOn w:val="a"/>
    <w:next w:val="a"/>
    <w:autoRedefine/>
    <w:uiPriority w:val="39"/>
    <w:unhideWhenUsed/>
    <w:rsid w:val="00A42903"/>
    <w:pPr>
      <w:spacing w:after="100"/>
      <w:ind w:left="220"/>
    </w:pPr>
  </w:style>
  <w:style w:type="character" w:customStyle="1" w:styleId="tooltip">
    <w:name w:val="tooltip"/>
    <w:basedOn w:val="a0"/>
    <w:rsid w:val="00CA0641"/>
  </w:style>
  <w:style w:type="paragraph" w:styleId="a9">
    <w:name w:val="caption"/>
    <w:basedOn w:val="a"/>
    <w:next w:val="a"/>
    <w:uiPriority w:val="35"/>
    <w:unhideWhenUsed/>
    <w:qFormat/>
    <w:rsid w:val="003B3256"/>
    <w:pPr>
      <w:spacing w:after="200" w:line="240" w:lineRule="auto"/>
    </w:pPr>
    <w:rPr>
      <w:i/>
      <w:iCs/>
      <w:color w:val="44546A" w:themeColor="text2"/>
      <w:sz w:val="18"/>
      <w:szCs w:val="18"/>
    </w:rPr>
  </w:style>
  <w:style w:type="character" w:styleId="aa">
    <w:name w:val="annotation reference"/>
    <w:basedOn w:val="a0"/>
    <w:uiPriority w:val="99"/>
    <w:semiHidden/>
    <w:unhideWhenUsed/>
    <w:rsid w:val="0034690B"/>
    <w:rPr>
      <w:sz w:val="16"/>
      <w:szCs w:val="16"/>
    </w:rPr>
  </w:style>
  <w:style w:type="paragraph" w:styleId="ab">
    <w:name w:val="annotation text"/>
    <w:basedOn w:val="a"/>
    <w:link w:val="Char3"/>
    <w:uiPriority w:val="99"/>
    <w:semiHidden/>
    <w:unhideWhenUsed/>
    <w:rsid w:val="0034690B"/>
    <w:pPr>
      <w:spacing w:line="240" w:lineRule="auto"/>
    </w:pPr>
    <w:rPr>
      <w:sz w:val="20"/>
      <w:szCs w:val="20"/>
    </w:rPr>
  </w:style>
  <w:style w:type="character" w:customStyle="1" w:styleId="Char3">
    <w:name w:val="Κείμενο σχολίου Char"/>
    <w:basedOn w:val="a0"/>
    <w:link w:val="ab"/>
    <w:uiPriority w:val="99"/>
    <w:semiHidden/>
    <w:rsid w:val="0034690B"/>
    <w:rPr>
      <w:sz w:val="20"/>
      <w:szCs w:val="20"/>
    </w:rPr>
  </w:style>
  <w:style w:type="paragraph" w:styleId="ac">
    <w:name w:val="annotation subject"/>
    <w:basedOn w:val="ab"/>
    <w:next w:val="ab"/>
    <w:link w:val="Char4"/>
    <w:uiPriority w:val="99"/>
    <w:semiHidden/>
    <w:unhideWhenUsed/>
    <w:rsid w:val="0034690B"/>
    <w:rPr>
      <w:b/>
      <w:bCs/>
    </w:rPr>
  </w:style>
  <w:style w:type="character" w:customStyle="1" w:styleId="Char4">
    <w:name w:val="Θέμα σχολίου Char"/>
    <w:basedOn w:val="Char3"/>
    <w:link w:val="ac"/>
    <w:uiPriority w:val="99"/>
    <w:semiHidden/>
    <w:rsid w:val="0034690B"/>
    <w:rPr>
      <w:b/>
      <w:bCs/>
      <w:sz w:val="20"/>
      <w:szCs w:val="20"/>
    </w:rPr>
  </w:style>
  <w:style w:type="paragraph" w:styleId="ad">
    <w:name w:val="Balloon Text"/>
    <w:basedOn w:val="a"/>
    <w:link w:val="Char5"/>
    <w:uiPriority w:val="99"/>
    <w:semiHidden/>
    <w:unhideWhenUsed/>
    <w:rsid w:val="0034690B"/>
    <w:pPr>
      <w:spacing w:after="0" w:line="240" w:lineRule="auto"/>
    </w:pPr>
    <w:rPr>
      <w:rFonts w:ascii="Segoe UI" w:hAnsi="Segoe UI" w:cs="Segoe UI"/>
      <w:sz w:val="18"/>
      <w:szCs w:val="18"/>
    </w:rPr>
  </w:style>
  <w:style w:type="character" w:customStyle="1" w:styleId="Char5">
    <w:name w:val="Κείμενο πλαισίου Char"/>
    <w:basedOn w:val="a0"/>
    <w:link w:val="ad"/>
    <w:uiPriority w:val="99"/>
    <w:semiHidden/>
    <w:rsid w:val="0034690B"/>
    <w:rPr>
      <w:rFonts w:ascii="Segoe UI" w:hAnsi="Segoe UI" w:cs="Segoe UI"/>
      <w:sz w:val="18"/>
      <w:szCs w:val="18"/>
    </w:rPr>
  </w:style>
  <w:style w:type="character" w:customStyle="1" w:styleId="apple-tab-span">
    <w:name w:val="apple-tab-span"/>
    <w:basedOn w:val="a0"/>
    <w:rsid w:val="007E46BE"/>
  </w:style>
  <w:style w:type="table" w:customStyle="1" w:styleId="ae">
    <w:basedOn w:val="TableNormal0"/>
    <w:pPr>
      <w:spacing w:after="0" w:line="240" w:lineRule="auto"/>
      <w:jc w:val="left"/>
    </w:pPr>
    <w:tblPr>
      <w:tblStyleRowBandSize w:val="1"/>
      <w:tblStyleColBandSize w:val="1"/>
      <w:tblCellMar>
        <w:left w:w="108" w:type="dxa"/>
        <w:right w:w="108" w:type="dxa"/>
      </w:tblCellMar>
    </w:tblPr>
  </w:style>
  <w:style w:type="table" w:customStyle="1" w:styleId="af">
    <w:basedOn w:val="TableNormal0"/>
    <w:pPr>
      <w:spacing w:after="0" w:line="240" w:lineRule="auto"/>
      <w:jc w:val="left"/>
    </w:pPr>
    <w:tblPr>
      <w:tblStyleRowBandSize w:val="1"/>
      <w:tblStyleColBandSize w:val="1"/>
      <w:tblCellMar>
        <w:left w:w="108" w:type="dxa"/>
        <w:right w:w="108" w:type="dxa"/>
      </w:tblCellMar>
    </w:tblPr>
  </w:style>
  <w:style w:type="character" w:customStyle="1" w:styleId="Char2">
    <w:name w:val="Παράγραφος λίστας Char"/>
    <w:basedOn w:val="a0"/>
    <w:link w:val="a6"/>
    <w:uiPriority w:val="34"/>
    <w:rsid w:val="00736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footer" Target="footer1.xml"/><Relationship Id="rId26" Type="http://schemas.openxmlformats.org/officeDocument/2006/relationships/hyperlink" Target="https://www.startts.org.au/media/Resource-Working-with-Refugees-Social-Worker-Guide.pdf" TargetMode="External"/><Relationship Id="rId3" Type="http://schemas.openxmlformats.org/officeDocument/2006/relationships/styles" Target="styles.xml"/><Relationship Id="rId21" Type="http://schemas.openxmlformats.org/officeDocument/2006/relationships/hyperlink" Target="http://www.europarl.europa.eu/RegData/etudes/IDAN/2017/602004/IPOL_IDA(2017)602004_EN.pdf" TargetMode="External"/><Relationship Id="rId34" Type="http://schemas.openxmlformats.org/officeDocument/2006/relationships/hyperlink" Target="https://www.unicef.org/eca/health/immunization" TargetMode="Externa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1.xml"/><Relationship Id="rId25" Type="http://schemas.openxmlformats.org/officeDocument/2006/relationships/hyperlink" Target="https://pubs.niaaa.nih.gov/publications/aa71/aa71.htm" TargetMode="External"/><Relationship Id="rId33" Type="http://schemas.openxmlformats.org/officeDocument/2006/relationships/hyperlink" Target="https://www.who.int/health-topics/vaccines-and-immunizatio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2.png"/><Relationship Id="rId29" Type="http://schemas.openxmlformats.org/officeDocument/2006/relationships/hyperlink" Target="https://www.who.int/vaccine_safety/initiative/tech_support/Vaccine-safety-E-course-manu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yperlink" Target="https://www.hopkinsmedicine.org/health/conditions-and-diseases/malnutrition" TargetMode="External"/><Relationship Id="rId32" Type="http://schemas.openxmlformats.org/officeDocument/2006/relationships/hyperlink" Target="https://www.who.int/news-room/facts-in-pictures/detail/immunizatio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hyperlink" Target="https://www.hopkinsmedicine.org/health/wellness-and-prevention/abcs-of-eating-smart-for-a-healthy-heart" TargetMode="External"/><Relationship Id="rId28" Type="http://schemas.openxmlformats.org/officeDocument/2006/relationships/hyperlink" Target="https://www.euro.who.int/__data/assets/pdf_file/0005/293270/Migration-Health-Key-Issues-.pdf" TargetMode="External"/><Relationship Id="rId36" Type="http://schemas.openxmlformats.org/officeDocument/2006/relationships/hyperlink" Target="http://www.euro.who.int/en/health-topics/health-determinants/migration-and-health/publications/2016/mental-health-and-psychosocial-support-for-refugees,-asylum-seekers-and-migrants-on-the-move-in-europe.-a-multi-agency-guidance-note-2015" TargetMode="External"/><Relationship Id="rId10" Type="http://schemas.openxmlformats.org/officeDocument/2006/relationships/image" Target="media/image3.jpg"/><Relationship Id="rId19" Type="http://schemas.openxmlformats.org/officeDocument/2006/relationships/hyperlink" Target="https://mig-dhl.eu/" TargetMode="External"/><Relationship Id="rId31" Type="http://schemas.openxmlformats.org/officeDocument/2006/relationships/hyperlink" Target="https://www.euro.who.int/en/health-topics/health-determinants/migration-and-health/publications/2018/report-on-the-health-of-refugees-and-migrants-in-the-who-european-region-no-public-health-without-refugee-and-migrant-health-2018"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hyperlink" Target="https://www.hopkinsmedicine.org/health/treatment-tests-and-therapies/screening-tests-for-common-diseases" TargetMode="External"/><Relationship Id="rId27" Type="http://schemas.openxmlformats.org/officeDocument/2006/relationships/hyperlink" Target="https://www.who.int/water_sanitation_health/hygiene/settings/hvchap8.pdf" TargetMode="External"/><Relationship Id="rId30" Type="http://schemas.openxmlformats.org/officeDocument/2006/relationships/hyperlink" Target="https://www.who.int/news-room/facts-in-pictures/detail/nutrition" TargetMode="External"/><Relationship Id="rId35" Type="http://schemas.openxmlformats.org/officeDocument/2006/relationships/hyperlink" Target="https://www.unhcr.org/55f6b90f9.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zHAAnOqtSZ2dGpld6GciVttsQA==">AMUW2mV6mY2wta4p6V7pSzJdeK/gdVG82YWukLmQivPDEmIuqn/5mS2T8/3tFa+h94Oh4t15Dgvrg19F05KXKyLsy1NwhFf5Bz2FK38x0J81+RyPEQUmkf7eAU7zz/gw/0gdnzggq7Or9h9GV+SQfM9S+kSwLGMp1epFH2ZupLYtVdHDu+dNchbXnsTzJ+N+XCHH39qRy8iYLrY+Zp1O221OmAbInVUcN/3ysh7jLwi6W3AIsZXSuEvFMRdPUbOzpieWHiAuJhOs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13</Pages>
  <Words>3500</Words>
  <Characters>18902</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Wielga</dc:creator>
  <cp:keywords>, docId:4FD3FC85B7E8FBAC6FE5B5EB5F4CD759</cp:keywords>
  <cp:lastModifiedBy>pantelis balaouras</cp:lastModifiedBy>
  <cp:revision>4</cp:revision>
  <cp:lastPrinted>2022-09-06T11:07:00Z</cp:lastPrinted>
  <dcterms:created xsi:type="dcterms:W3CDTF">2022-07-29T14:01:00Z</dcterms:created>
  <dcterms:modified xsi:type="dcterms:W3CDTF">2022-09-06T11:07:00Z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0x010100FEF3466DE4BB014F91F3181A8421C90C</vt:lpwstr>
  </property>
</Properties>
</file>