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9586" w14:textId="77777777" w:rsidR="009842E7" w:rsidRDefault="009842E7">
      <w:pPr>
        <w:pStyle w:val="1"/>
        <w:jc w:val="both"/>
      </w:pPr>
    </w:p>
    <w:p w14:paraId="6A1E9587" w14:textId="77777777" w:rsidR="009842E7" w:rsidRDefault="000512B4">
      <w:r>
        <w:rPr>
          <w:noProof/>
        </w:rPr>
        <w:drawing>
          <wp:inline distT="0" distB="0" distL="0" distR="0" wp14:anchorId="6A1E96CB" wp14:editId="6A1E96CC">
            <wp:extent cx="5731510" cy="1516380"/>
            <wp:effectExtent l="0" t="0" r="0" b="0"/>
            <wp:docPr id="205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731510" cy="1516380"/>
                    </a:xfrm>
                    <a:prstGeom prst="rect">
                      <a:avLst/>
                    </a:prstGeom>
                    <a:ln/>
                  </pic:spPr>
                </pic:pic>
              </a:graphicData>
            </a:graphic>
          </wp:inline>
        </w:drawing>
      </w:r>
    </w:p>
    <w:p w14:paraId="6A1E9588" w14:textId="250A6585" w:rsidR="009842E7" w:rsidRDefault="00992D15">
      <w:pPr>
        <w:jc w:val="center"/>
        <w:rPr>
          <w:b/>
          <w:color w:val="C00000"/>
          <w:sz w:val="96"/>
          <w:szCs w:val="96"/>
        </w:rPr>
      </w:pPr>
      <w:proofErr w:type="spellStart"/>
      <w:r>
        <w:rPr>
          <w:b/>
          <w:color w:val="C00000"/>
          <w:sz w:val="96"/>
          <w:szCs w:val="96"/>
        </w:rPr>
        <w:t>Manuale</w:t>
      </w:r>
      <w:proofErr w:type="spellEnd"/>
    </w:p>
    <w:p w14:paraId="6A1E9589" w14:textId="2683514B" w:rsidR="009842E7" w:rsidRDefault="000512B4">
      <w:pPr>
        <w:jc w:val="center"/>
        <w:rPr>
          <w:b/>
          <w:color w:val="C00000"/>
          <w:sz w:val="32"/>
          <w:szCs w:val="32"/>
        </w:rPr>
      </w:pPr>
      <w:r>
        <w:rPr>
          <w:b/>
          <w:color w:val="C00000"/>
          <w:sz w:val="40"/>
          <w:szCs w:val="40"/>
        </w:rPr>
        <w:t>Modul</w:t>
      </w:r>
      <w:r w:rsidR="00992D15">
        <w:rPr>
          <w:b/>
          <w:color w:val="C00000"/>
          <w:sz w:val="40"/>
          <w:szCs w:val="40"/>
        </w:rPr>
        <w:t>o</w:t>
      </w:r>
      <w:r>
        <w:rPr>
          <w:b/>
          <w:color w:val="C00000"/>
          <w:sz w:val="40"/>
          <w:szCs w:val="40"/>
        </w:rPr>
        <w:t xml:space="preserve"> 5</w:t>
      </w:r>
      <w:r>
        <w:rPr>
          <w:b/>
          <w:sz w:val="40"/>
          <w:szCs w:val="40"/>
        </w:rPr>
        <w:br/>
      </w:r>
      <w:proofErr w:type="spellStart"/>
      <w:r>
        <w:rPr>
          <w:sz w:val="40"/>
          <w:szCs w:val="40"/>
        </w:rPr>
        <w:t>E</w:t>
      </w:r>
      <w:r w:rsidR="00992D15">
        <w:rPr>
          <w:sz w:val="40"/>
          <w:szCs w:val="40"/>
        </w:rPr>
        <w:t>splorazione</w:t>
      </w:r>
      <w:proofErr w:type="spellEnd"/>
      <w:r w:rsidR="00992D15">
        <w:rPr>
          <w:sz w:val="40"/>
          <w:szCs w:val="40"/>
        </w:rPr>
        <w:t xml:space="preserve"> </w:t>
      </w:r>
      <w:proofErr w:type="spellStart"/>
      <w:r w:rsidR="00992D15">
        <w:rPr>
          <w:sz w:val="40"/>
          <w:szCs w:val="40"/>
        </w:rPr>
        <w:t>degli</w:t>
      </w:r>
      <w:proofErr w:type="spellEnd"/>
      <w:r w:rsidR="00992D15">
        <w:rPr>
          <w:sz w:val="40"/>
          <w:szCs w:val="40"/>
        </w:rPr>
        <w:t xml:space="preserve"> </w:t>
      </w:r>
      <w:proofErr w:type="spellStart"/>
      <w:r w:rsidR="00992D15">
        <w:rPr>
          <w:sz w:val="40"/>
          <w:szCs w:val="40"/>
        </w:rPr>
        <w:t>strumenti</w:t>
      </w:r>
      <w:proofErr w:type="spellEnd"/>
      <w:r w:rsidR="00992D15">
        <w:rPr>
          <w:sz w:val="40"/>
          <w:szCs w:val="40"/>
        </w:rPr>
        <w:t xml:space="preserve"> per la salute </w:t>
      </w:r>
      <w:proofErr w:type="spellStart"/>
      <w:r w:rsidR="00992D15">
        <w:rPr>
          <w:sz w:val="40"/>
          <w:szCs w:val="40"/>
        </w:rPr>
        <w:t>digitale</w:t>
      </w:r>
      <w:proofErr w:type="spellEnd"/>
    </w:p>
    <w:p w14:paraId="6A1E958B" w14:textId="02D22817" w:rsidR="009842E7" w:rsidRDefault="000512B4">
      <w:pPr>
        <w:rPr>
          <w:sz w:val="28"/>
          <w:szCs w:val="28"/>
        </w:rPr>
      </w:pPr>
      <w:proofErr w:type="spellStart"/>
      <w:r>
        <w:rPr>
          <w:b/>
          <w:color w:val="C00000"/>
          <w:sz w:val="32"/>
          <w:szCs w:val="32"/>
        </w:rPr>
        <w:t>Au</w:t>
      </w:r>
      <w:r w:rsidR="00992D15">
        <w:rPr>
          <w:b/>
          <w:color w:val="C00000"/>
          <w:sz w:val="32"/>
          <w:szCs w:val="32"/>
        </w:rPr>
        <w:t>tori</w:t>
      </w:r>
      <w:proofErr w:type="spellEnd"/>
      <w:r>
        <w:rPr>
          <w:b/>
          <w:color w:val="C00000"/>
          <w:sz w:val="32"/>
          <w:szCs w:val="32"/>
        </w:rPr>
        <w:t>:</w:t>
      </w:r>
      <w:r>
        <w:rPr>
          <w:b/>
          <w:color w:val="C00000"/>
          <w:sz w:val="32"/>
          <w:szCs w:val="32"/>
        </w:rPr>
        <w:br/>
      </w:r>
      <w:r>
        <w:rPr>
          <w:sz w:val="28"/>
          <w:szCs w:val="28"/>
        </w:rPr>
        <w:t xml:space="preserve">Carlos Serra, UVEG; Karin </w:t>
      </w:r>
      <w:proofErr w:type="spellStart"/>
      <w:r>
        <w:rPr>
          <w:sz w:val="28"/>
          <w:szCs w:val="28"/>
        </w:rPr>
        <w:t>Drda-Kühn</w:t>
      </w:r>
      <w:proofErr w:type="spellEnd"/>
      <w:r>
        <w:rPr>
          <w:sz w:val="28"/>
          <w:szCs w:val="28"/>
        </w:rPr>
        <w:t xml:space="preserve">, </w:t>
      </w:r>
      <w:proofErr w:type="spellStart"/>
      <w:r>
        <w:rPr>
          <w:sz w:val="28"/>
          <w:szCs w:val="28"/>
        </w:rPr>
        <w:t>MediaK</w:t>
      </w:r>
      <w:proofErr w:type="spellEnd"/>
      <w:r w:rsidR="00F12F2B">
        <w:rPr>
          <w:sz w:val="28"/>
          <w:szCs w:val="28"/>
        </w:rPr>
        <w:t xml:space="preserve">; </w:t>
      </w:r>
      <w:proofErr w:type="spellStart"/>
      <w:r w:rsidR="00F12F2B">
        <w:rPr>
          <w:sz w:val="28"/>
          <w:szCs w:val="28"/>
        </w:rPr>
        <w:t>Josemar</w:t>
      </w:r>
      <w:proofErr w:type="spellEnd"/>
      <w:r w:rsidR="00F12F2B">
        <w:rPr>
          <w:sz w:val="28"/>
          <w:szCs w:val="28"/>
        </w:rPr>
        <w:t xml:space="preserve"> Jimenez, Oxfam (per </w:t>
      </w:r>
      <w:proofErr w:type="spellStart"/>
      <w:r w:rsidR="00F12F2B">
        <w:rPr>
          <w:sz w:val="28"/>
          <w:szCs w:val="28"/>
        </w:rPr>
        <w:t>i</w:t>
      </w:r>
      <w:proofErr w:type="spellEnd"/>
      <w:r w:rsidR="00F12F2B">
        <w:rPr>
          <w:sz w:val="28"/>
          <w:szCs w:val="28"/>
        </w:rPr>
        <w:t xml:space="preserve"> </w:t>
      </w:r>
      <w:proofErr w:type="spellStart"/>
      <w:r w:rsidR="00F12F2B">
        <w:rPr>
          <w:sz w:val="28"/>
          <w:szCs w:val="28"/>
        </w:rPr>
        <w:t>dati</w:t>
      </w:r>
      <w:proofErr w:type="spellEnd"/>
      <w:r w:rsidR="00F12F2B">
        <w:rPr>
          <w:sz w:val="28"/>
          <w:szCs w:val="28"/>
        </w:rPr>
        <w:t xml:space="preserve"> </w:t>
      </w:r>
      <w:proofErr w:type="spellStart"/>
      <w:r w:rsidR="00F12F2B">
        <w:rPr>
          <w:sz w:val="28"/>
          <w:szCs w:val="28"/>
        </w:rPr>
        <w:t>relativi</w:t>
      </w:r>
      <w:proofErr w:type="spellEnd"/>
      <w:r w:rsidR="00F12F2B">
        <w:rPr>
          <w:sz w:val="28"/>
          <w:szCs w:val="28"/>
        </w:rPr>
        <w:t xml:space="preserve"> la </w:t>
      </w:r>
      <w:proofErr w:type="spellStart"/>
      <w:r w:rsidR="00F12F2B">
        <w:rPr>
          <w:sz w:val="28"/>
          <w:szCs w:val="28"/>
        </w:rPr>
        <w:t>sezione</w:t>
      </w:r>
      <w:proofErr w:type="spellEnd"/>
      <w:r w:rsidR="00F12F2B">
        <w:rPr>
          <w:sz w:val="28"/>
          <w:szCs w:val="28"/>
        </w:rPr>
        <w:t xml:space="preserve"> </w:t>
      </w:r>
      <w:proofErr w:type="spellStart"/>
      <w:r w:rsidR="00F12F2B">
        <w:rPr>
          <w:sz w:val="28"/>
          <w:szCs w:val="28"/>
        </w:rPr>
        <w:t>italiana</w:t>
      </w:r>
      <w:proofErr w:type="spellEnd"/>
      <w:r w:rsidR="00F12F2B">
        <w:rPr>
          <w:sz w:val="28"/>
          <w:szCs w:val="28"/>
        </w:rPr>
        <w:t>).</w:t>
      </w:r>
    </w:p>
    <w:p w14:paraId="6A1E958C" w14:textId="77777777" w:rsidR="009842E7" w:rsidRDefault="009842E7">
      <w:pPr>
        <w:rPr>
          <w:sz w:val="16"/>
          <w:szCs w:val="16"/>
        </w:rPr>
      </w:pPr>
    </w:p>
    <w:tbl>
      <w:tblPr>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1792"/>
        <w:gridCol w:w="1026"/>
        <w:gridCol w:w="1500"/>
        <w:gridCol w:w="1104"/>
        <w:gridCol w:w="1847"/>
        <w:gridCol w:w="1511"/>
        <w:gridCol w:w="10"/>
      </w:tblGrid>
      <w:tr w:rsidR="009842E7" w14:paraId="6A1E9592" w14:textId="77777777">
        <w:trPr>
          <w:jc w:val="center"/>
        </w:trPr>
        <w:tc>
          <w:tcPr>
            <w:tcW w:w="1956" w:type="dxa"/>
            <w:gridSpan w:val="2"/>
          </w:tcPr>
          <w:p w14:paraId="6A1E958D" w14:textId="77777777" w:rsidR="009842E7" w:rsidRDefault="000512B4">
            <w:pPr>
              <w:rPr>
                <w:sz w:val="16"/>
                <w:szCs w:val="16"/>
              </w:rPr>
            </w:pPr>
            <w:r>
              <w:rPr>
                <w:noProof/>
                <w:sz w:val="16"/>
                <w:szCs w:val="16"/>
              </w:rPr>
              <w:drawing>
                <wp:inline distT="0" distB="0" distL="0" distR="0" wp14:anchorId="6A1E96CD" wp14:editId="6A1E96CE">
                  <wp:extent cx="1125908" cy="634403"/>
                  <wp:effectExtent l="0" t="0" r="0" b="0"/>
                  <wp:docPr id="206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b="18123"/>
                          <a:stretch>
                            <a:fillRect/>
                          </a:stretch>
                        </pic:blipFill>
                        <pic:spPr>
                          <a:xfrm>
                            <a:off x="0" y="0"/>
                            <a:ext cx="1125908" cy="634403"/>
                          </a:xfrm>
                          <a:prstGeom prst="rect">
                            <a:avLst/>
                          </a:prstGeom>
                          <a:ln/>
                        </pic:spPr>
                      </pic:pic>
                    </a:graphicData>
                  </a:graphic>
                </wp:inline>
              </w:drawing>
            </w:r>
          </w:p>
        </w:tc>
        <w:tc>
          <w:tcPr>
            <w:tcW w:w="1036" w:type="dxa"/>
          </w:tcPr>
          <w:p w14:paraId="6A1E958E" w14:textId="77777777" w:rsidR="009842E7" w:rsidRDefault="000512B4">
            <w:pPr>
              <w:rPr>
                <w:sz w:val="16"/>
                <w:szCs w:val="16"/>
              </w:rPr>
            </w:pPr>
            <w:r>
              <w:rPr>
                <w:noProof/>
              </w:rPr>
              <w:drawing>
                <wp:anchor distT="0" distB="0" distL="114300" distR="114300" simplePos="0" relativeHeight="251658240" behindDoc="0" locked="0" layoutInCell="1" hidden="0" allowOverlap="1" wp14:anchorId="6A1E96CF" wp14:editId="6A1E96D0">
                  <wp:simplePos x="0" y="0"/>
                  <wp:positionH relativeFrom="column">
                    <wp:posOffset>33656</wp:posOffset>
                  </wp:positionH>
                  <wp:positionV relativeFrom="paragraph">
                    <wp:posOffset>-230956</wp:posOffset>
                  </wp:positionV>
                  <wp:extent cx="688063" cy="895980"/>
                  <wp:effectExtent l="0" t="0" r="0" b="0"/>
                  <wp:wrapNone/>
                  <wp:docPr id="206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0"/>
                          <a:srcRect l="17249" t="9421" r="16570" b="12063"/>
                          <a:stretch>
                            <a:fillRect/>
                          </a:stretch>
                        </pic:blipFill>
                        <pic:spPr>
                          <a:xfrm>
                            <a:off x="0" y="0"/>
                            <a:ext cx="688063" cy="895980"/>
                          </a:xfrm>
                          <a:prstGeom prst="rect">
                            <a:avLst/>
                          </a:prstGeom>
                          <a:ln/>
                        </pic:spPr>
                      </pic:pic>
                    </a:graphicData>
                  </a:graphic>
                </wp:anchor>
              </w:drawing>
            </w:r>
          </w:p>
        </w:tc>
        <w:tc>
          <w:tcPr>
            <w:tcW w:w="2632" w:type="dxa"/>
            <w:gridSpan w:val="2"/>
          </w:tcPr>
          <w:p w14:paraId="6A1E958F" w14:textId="77777777" w:rsidR="009842E7" w:rsidRDefault="000512B4">
            <w:pPr>
              <w:rPr>
                <w:sz w:val="16"/>
                <w:szCs w:val="16"/>
              </w:rPr>
            </w:pPr>
            <w:r>
              <w:rPr>
                <w:noProof/>
              </w:rPr>
              <w:drawing>
                <wp:anchor distT="0" distB="0" distL="114300" distR="114300" simplePos="0" relativeHeight="251658241" behindDoc="0" locked="0" layoutInCell="1" hidden="0" allowOverlap="1" wp14:anchorId="6A1E96D1" wp14:editId="6A1E96D2">
                  <wp:simplePos x="0" y="0"/>
                  <wp:positionH relativeFrom="column">
                    <wp:posOffset>69120</wp:posOffset>
                  </wp:positionH>
                  <wp:positionV relativeFrom="paragraph">
                    <wp:posOffset>126365</wp:posOffset>
                  </wp:positionV>
                  <wp:extent cx="1534538" cy="484360"/>
                  <wp:effectExtent l="0" t="0" r="0" b="0"/>
                  <wp:wrapSquare wrapText="bothSides" distT="0" distB="0" distL="114300" distR="114300"/>
                  <wp:docPr id="205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b="22683"/>
                          <a:stretch>
                            <a:fillRect/>
                          </a:stretch>
                        </pic:blipFill>
                        <pic:spPr>
                          <a:xfrm>
                            <a:off x="0" y="0"/>
                            <a:ext cx="1534538" cy="484360"/>
                          </a:xfrm>
                          <a:prstGeom prst="rect">
                            <a:avLst/>
                          </a:prstGeom>
                          <a:ln/>
                        </pic:spPr>
                      </pic:pic>
                    </a:graphicData>
                  </a:graphic>
                </wp:anchor>
              </w:drawing>
            </w:r>
          </w:p>
        </w:tc>
        <w:tc>
          <w:tcPr>
            <w:tcW w:w="1866" w:type="dxa"/>
          </w:tcPr>
          <w:p w14:paraId="6A1E9590" w14:textId="77777777" w:rsidR="009842E7" w:rsidRDefault="000512B4">
            <w:pPr>
              <w:rPr>
                <w:sz w:val="16"/>
                <w:szCs w:val="16"/>
              </w:rPr>
            </w:pPr>
            <w:r>
              <w:rPr>
                <w:noProof/>
                <w:sz w:val="16"/>
                <w:szCs w:val="16"/>
              </w:rPr>
              <w:drawing>
                <wp:inline distT="0" distB="0" distL="0" distR="0" wp14:anchorId="6A1E96D3" wp14:editId="6A1E96D4">
                  <wp:extent cx="1049772" cy="587659"/>
                  <wp:effectExtent l="0" t="0" r="0" b="0"/>
                  <wp:docPr id="206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l="21020" r="20316" b="18194"/>
                          <a:stretch>
                            <a:fillRect/>
                          </a:stretch>
                        </pic:blipFill>
                        <pic:spPr>
                          <a:xfrm>
                            <a:off x="0" y="0"/>
                            <a:ext cx="1049772" cy="587659"/>
                          </a:xfrm>
                          <a:prstGeom prst="rect">
                            <a:avLst/>
                          </a:prstGeom>
                          <a:ln/>
                        </pic:spPr>
                      </pic:pic>
                    </a:graphicData>
                  </a:graphic>
                </wp:inline>
              </w:drawing>
            </w:r>
          </w:p>
        </w:tc>
        <w:tc>
          <w:tcPr>
            <w:tcW w:w="1536" w:type="dxa"/>
            <w:gridSpan w:val="2"/>
          </w:tcPr>
          <w:p w14:paraId="6A1E9591" w14:textId="77777777" w:rsidR="009842E7" w:rsidRDefault="000512B4">
            <w:pPr>
              <w:rPr>
                <w:sz w:val="16"/>
                <w:szCs w:val="16"/>
              </w:rPr>
            </w:pPr>
            <w:r>
              <w:rPr>
                <w:noProof/>
                <w:sz w:val="16"/>
                <w:szCs w:val="16"/>
              </w:rPr>
              <w:drawing>
                <wp:inline distT="0" distB="0" distL="0" distR="0" wp14:anchorId="6A1E96D5" wp14:editId="6A1E96D6">
                  <wp:extent cx="846290" cy="630274"/>
                  <wp:effectExtent l="0" t="0" r="0" b="0"/>
                  <wp:docPr id="206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l="13851" t="35173" r="12037" b="11431"/>
                          <a:stretch>
                            <a:fillRect/>
                          </a:stretch>
                        </pic:blipFill>
                        <pic:spPr>
                          <a:xfrm>
                            <a:off x="0" y="0"/>
                            <a:ext cx="846290" cy="630274"/>
                          </a:xfrm>
                          <a:prstGeom prst="rect">
                            <a:avLst/>
                          </a:prstGeom>
                          <a:ln/>
                        </pic:spPr>
                      </pic:pic>
                    </a:graphicData>
                  </a:graphic>
                </wp:inline>
              </w:drawing>
            </w:r>
          </w:p>
        </w:tc>
      </w:tr>
      <w:tr w:rsidR="009842E7" w14:paraId="6A1E9596" w14:textId="77777777">
        <w:trPr>
          <w:gridAfter w:val="1"/>
          <w:wAfter w:w="10" w:type="dxa"/>
          <w:jc w:val="center"/>
        </w:trPr>
        <w:tc>
          <w:tcPr>
            <w:tcW w:w="142" w:type="dxa"/>
          </w:tcPr>
          <w:p w14:paraId="6A1E9593" w14:textId="77777777" w:rsidR="009842E7" w:rsidRDefault="009842E7">
            <w:pPr>
              <w:widowControl w:val="0"/>
              <w:pBdr>
                <w:top w:val="nil"/>
                <w:left w:val="nil"/>
                <w:bottom w:val="nil"/>
                <w:right w:val="nil"/>
                <w:between w:val="nil"/>
              </w:pBdr>
              <w:spacing w:line="276" w:lineRule="auto"/>
              <w:rPr>
                <w:sz w:val="16"/>
                <w:szCs w:val="16"/>
              </w:rPr>
            </w:pPr>
          </w:p>
        </w:tc>
        <w:tc>
          <w:tcPr>
            <w:tcW w:w="4366" w:type="dxa"/>
            <w:gridSpan w:val="3"/>
          </w:tcPr>
          <w:p w14:paraId="6A1E9594" w14:textId="77777777" w:rsidR="009842E7" w:rsidRDefault="000512B4">
            <w:pPr>
              <w:jc w:val="center"/>
              <w:rPr>
                <w:sz w:val="16"/>
                <w:szCs w:val="16"/>
              </w:rPr>
            </w:pPr>
            <w:r>
              <w:rPr>
                <w:noProof/>
                <w:sz w:val="16"/>
                <w:szCs w:val="16"/>
              </w:rPr>
              <w:drawing>
                <wp:inline distT="0" distB="0" distL="0" distR="0" wp14:anchorId="6A1E96D7" wp14:editId="6A1E96D8">
                  <wp:extent cx="930963" cy="386715"/>
                  <wp:effectExtent l="0" t="0" r="0" b="0"/>
                  <wp:docPr id="206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4"/>
                          <a:srcRect l="9456" r="8192" b="16967"/>
                          <a:stretch>
                            <a:fillRect/>
                          </a:stretch>
                        </pic:blipFill>
                        <pic:spPr>
                          <a:xfrm>
                            <a:off x="0" y="0"/>
                            <a:ext cx="930963" cy="386715"/>
                          </a:xfrm>
                          <a:prstGeom prst="rect">
                            <a:avLst/>
                          </a:prstGeom>
                          <a:ln/>
                        </pic:spPr>
                      </pic:pic>
                    </a:graphicData>
                  </a:graphic>
                </wp:inline>
              </w:drawing>
            </w:r>
          </w:p>
        </w:tc>
        <w:tc>
          <w:tcPr>
            <w:tcW w:w="4508" w:type="dxa"/>
            <w:gridSpan w:val="3"/>
          </w:tcPr>
          <w:p w14:paraId="6A1E9595" w14:textId="77777777" w:rsidR="009842E7" w:rsidRDefault="000512B4">
            <w:pPr>
              <w:jc w:val="center"/>
              <w:rPr>
                <w:sz w:val="16"/>
                <w:szCs w:val="16"/>
              </w:rPr>
            </w:pPr>
            <w:r>
              <w:rPr>
                <w:noProof/>
                <w:sz w:val="16"/>
                <w:szCs w:val="16"/>
              </w:rPr>
              <w:drawing>
                <wp:inline distT="0" distB="0" distL="0" distR="0" wp14:anchorId="6A1E96D9" wp14:editId="6A1E96DA">
                  <wp:extent cx="1113416" cy="393444"/>
                  <wp:effectExtent l="0" t="0" r="0" b="0"/>
                  <wp:docPr id="206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5"/>
                          <a:srcRect b="14548"/>
                          <a:stretch>
                            <a:fillRect/>
                          </a:stretch>
                        </pic:blipFill>
                        <pic:spPr>
                          <a:xfrm>
                            <a:off x="0" y="0"/>
                            <a:ext cx="1113416" cy="393444"/>
                          </a:xfrm>
                          <a:prstGeom prst="rect">
                            <a:avLst/>
                          </a:prstGeom>
                          <a:ln/>
                        </pic:spPr>
                      </pic:pic>
                    </a:graphicData>
                  </a:graphic>
                </wp:inline>
              </w:drawing>
            </w:r>
          </w:p>
        </w:tc>
      </w:tr>
    </w:tbl>
    <w:p w14:paraId="6A1E9597" w14:textId="77777777" w:rsidR="009842E7" w:rsidRDefault="000512B4">
      <w:pPr>
        <w:rPr>
          <w:sz w:val="16"/>
          <w:szCs w:val="16"/>
        </w:rPr>
      </w:pPr>
      <w:r>
        <w:rPr>
          <w:noProof/>
        </w:rPr>
        <w:drawing>
          <wp:anchor distT="0" distB="0" distL="114300" distR="114300" simplePos="0" relativeHeight="251658242" behindDoc="0" locked="0" layoutInCell="1" hidden="0" allowOverlap="1" wp14:anchorId="6A1E96DB" wp14:editId="049D5189">
            <wp:simplePos x="0" y="0"/>
            <wp:positionH relativeFrom="column">
              <wp:posOffset>-645795</wp:posOffset>
            </wp:positionH>
            <wp:positionV relativeFrom="paragraph">
              <wp:posOffset>236220</wp:posOffset>
            </wp:positionV>
            <wp:extent cx="1683385" cy="654050"/>
            <wp:effectExtent l="0" t="0" r="0" b="0"/>
            <wp:wrapSquare wrapText="bothSides" distT="0" distB="0" distL="114300" distR="114300"/>
            <wp:docPr id="2058" name="image2.jpg" descr="D:\Users\Pictures\Erasmus+ cofunded.jpg"/>
            <wp:cNvGraphicFramePr/>
            <a:graphic xmlns:a="http://schemas.openxmlformats.org/drawingml/2006/main">
              <a:graphicData uri="http://schemas.openxmlformats.org/drawingml/2006/picture">
                <pic:pic xmlns:pic="http://schemas.openxmlformats.org/drawingml/2006/picture">
                  <pic:nvPicPr>
                    <pic:cNvPr id="0" name="image2.jpg" descr="D:\Users\Pictures\Erasmus+ cofunded.jpg"/>
                    <pic:cNvPicPr preferRelativeResize="0"/>
                  </pic:nvPicPr>
                  <pic:blipFill>
                    <a:blip r:embed="rId16"/>
                    <a:srcRect/>
                    <a:stretch>
                      <a:fillRect/>
                    </a:stretch>
                  </pic:blipFill>
                  <pic:spPr>
                    <a:xfrm>
                      <a:off x="0" y="0"/>
                      <a:ext cx="1683385" cy="654050"/>
                    </a:xfrm>
                    <a:prstGeom prst="rect">
                      <a:avLst/>
                    </a:prstGeom>
                    <a:ln/>
                  </pic:spPr>
                </pic:pic>
              </a:graphicData>
            </a:graphic>
            <wp14:sizeRelV relativeFrom="margin">
              <wp14:pctHeight>0</wp14:pctHeight>
            </wp14:sizeRelV>
          </wp:anchor>
        </w:drawing>
      </w:r>
    </w:p>
    <w:p w14:paraId="6BEE40EE" w14:textId="77777777" w:rsidR="00992D15" w:rsidRPr="005A55D8" w:rsidRDefault="00992D15" w:rsidP="00992D15">
      <w:pPr>
        <w:rPr>
          <w:sz w:val="16"/>
          <w:szCs w:val="16"/>
          <w:lang w:val="it-IT"/>
        </w:rPr>
        <w:sectPr w:rsidR="00992D15" w:rsidRPr="005A55D8">
          <w:headerReference w:type="default" r:id="rId17"/>
          <w:footerReference w:type="default" r:id="rId18"/>
          <w:pgSz w:w="11906" w:h="16838"/>
          <w:pgMar w:top="1417" w:right="1417" w:bottom="1134" w:left="1417" w:header="708" w:footer="708" w:gutter="0"/>
          <w:pgNumType w:start="1"/>
          <w:cols w:space="720"/>
        </w:sectPr>
      </w:pPr>
      <w:r w:rsidRPr="005A55D8">
        <w:rPr>
          <w:sz w:val="16"/>
          <w:szCs w:val="16"/>
          <w:lang w:val="it-IT"/>
        </w:rPr>
        <w:t>Il sostegno della Commissione europea alla realizzazione di questa pubblicazione non costituisce un'approvazione dei contenuti, che riflettono esclusivamente le opinioni degli autori. La Commissione non può essere ritenuta responsabile per l'uso che può essere fatto delle informazioni in essa contenute. Numero del progetto: 2020-1-DE02-KA204-007679</w:t>
      </w:r>
    </w:p>
    <w:p w14:paraId="5DE4E13E" w14:textId="77820745" w:rsidR="00D74BEE" w:rsidRPr="008F1D37" w:rsidRDefault="00D74BEE" w:rsidP="00D74BEE">
      <w:pPr>
        <w:spacing w:line="259" w:lineRule="auto"/>
        <w:rPr>
          <w:b/>
          <w:noProof/>
          <w:lang w:val="it-IT"/>
        </w:rPr>
      </w:pPr>
      <w:bookmarkStart w:id="0" w:name="_heading=h.30j0zll" w:colFirst="0" w:colLast="0"/>
      <w:bookmarkEnd w:id="0"/>
      <w:r w:rsidRPr="008F1D37">
        <w:rPr>
          <w:noProof/>
          <w:lang w:val="it-IT"/>
        </w:rPr>
        <w:lastRenderedPageBreak/>
        <w:t xml:space="preserve">Questo manuale per il modulo 5 fa parte del programma MIG-DHL, che contiene 6 moduli di apprendimento in totale, sviluppati nell'ambito del partenariato strategico Erasmus+ </w:t>
      </w:r>
      <w:r w:rsidRPr="008F1D37">
        <w:rPr>
          <w:b/>
          <w:noProof/>
          <w:lang w:val="it-IT"/>
        </w:rPr>
        <w:t xml:space="preserve">MIG-DHL- Migrants Digital Health Literacy. </w:t>
      </w:r>
    </w:p>
    <w:p w14:paraId="30A1ECC1" w14:textId="77777777" w:rsidR="00D74BEE" w:rsidRPr="008F1D37" w:rsidRDefault="00D74BEE" w:rsidP="00D74BEE">
      <w:pPr>
        <w:keepNext/>
        <w:keepLines/>
        <w:pBdr>
          <w:bottom w:val="single" w:sz="4" w:space="1" w:color="C00000"/>
        </w:pBdr>
        <w:spacing w:before="280" w:after="480" w:line="259" w:lineRule="auto"/>
        <w:ind w:left="432"/>
        <w:rPr>
          <w:noProof/>
          <w:color w:val="2F5496"/>
          <w:sz w:val="32"/>
          <w:szCs w:val="32"/>
          <w:lang w:val="it-IT"/>
        </w:rPr>
      </w:pPr>
      <w:r w:rsidRPr="008F1D37">
        <w:rPr>
          <w:noProof/>
          <w:color w:val="2F5496"/>
          <w:sz w:val="32"/>
          <w:szCs w:val="32"/>
          <w:lang w:val="it-IT"/>
        </w:rPr>
        <w:t>I contenuti della formazione in sintesi:</w:t>
      </w:r>
    </w:p>
    <w:tbl>
      <w:tblPr>
        <w:tblW w:w="8647" w:type="dxa"/>
        <w:jc w:val="center"/>
        <w:tblBorders>
          <w:top w:val="nil"/>
          <w:left w:val="nil"/>
          <w:bottom w:val="nil"/>
          <w:right w:val="nil"/>
          <w:insideH w:val="nil"/>
          <w:insideV w:val="nil"/>
        </w:tblBorders>
        <w:tblLayout w:type="fixed"/>
        <w:tblLook w:val="0400" w:firstRow="0" w:lastRow="0" w:firstColumn="0" w:lastColumn="0" w:noHBand="0" w:noVBand="1"/>
      </w:tblPr>
      <w:tblGrid>
        <w:gridCol w:w="8647"/>
      </w:tblGrid>
      <w:tr w:rsidR="009842E7" w:rsidRPr="008F1D37" w14:paraId="6A1E959D" w14:textId="77777777">
        <w:trPr>
          <w:trHeight w:val="609"/>
          <w:jc w:val="center"/>
        </w:trPr>
        <w:tc>
          <w:tcPr>
            <w:tcW w:w="8647" w:type="dxa"/>
            <w:tcBorders>
              <w:bottom w:val="single" w:sz="18" w:space="0" w:color="FFFFFF"/>
            </w:tcBorders>
            <w:shd w:val="clear" w:color="auto" w:fill="auto"/>
            <w:tcMar>
              <w:top w:w="57" w:type="dxa"/>
              <w:bottom w:w="57" w:type="dxa"/>
            </w:tcMar>
            <w:vAlign w:val="center"/>
          </w:tcPr>
          <w:p w14:paraId="6A1E959C" w14:textId="03DB37BC" w:rsidR="009842E7" w:rsidRPr="008F1D37" w:rsidRDefault="00D74BEE">
            <w:pPr>
              <w:rPr>
                <w:b/>
                <w:noProof/>
                <w:color w:val="1A1364"/>
                <w:lang w:val="it-IT"/>
              </w:rPr>
            </w:pPr>
            <w:r w:rsidRPr="008F1D37">
              <w:rPr>
                <w:b/>
                <w:noProof/>
                <w:color w:val="1A1364"/>
                <w:lang w:val="it-IT"/>
              </w:rPr>
              <w:t xml:space="preserve">Programma </w:t>
            </w:r>
            <w:r w:rsidR="000512B4" w:rsidRPr="008F1D37">
              <w:rPr>
                <w:b/>
                <w:noProof/>
                <w:color w:val="1A1364"/>
                <w:lang w:val="it-IT"/>
              </w:rPr>
              <w:t xml:space="preserve">MIG-DHL </w:t>
            </w:r>
          </w:p>
        </w:tc>
      </w:tr>
      <w:tr w:rsidR="009842E7" w:rsidRPr="008F1D37" w14:paraId="6A1E959F"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A1E959E" w14:textId="59443B48" w:rsidR="009842E7" w:rsidRPr="008F1D37" w:rsidRDefault="00D74BEE" w:rsidP="00D74BEE">
            <w:pPr>
              <w:pStyle w:val="af"/>
              <w:spacing w:after="160"/>
              <w:rPr>
                <w:rFonts w:ascii="Arial" w:hAnsi="Arial" w:cs="Arial"/>
                <w:bCs w:val="0"/>
                <w:noProof/>
                <w:color w:val="FFFFFF" w:themeColor="background1"/>
                <w:lang w:val="it-IT"/>
              </w:rPr>
            </w:pPr>
            <w:r w:rsidRPr="008F1D37">
              <w:rPr>
                <w:rFonts w:ascii="Arial" w:hAnsi="Arial" w:cs="Arial"/>
                <w:bCs w:val="0"/>
                <w:noProof/>
                <w:color w:val="FFFFFF" w:themeColor="background1"/>
                <w:lang w:val="it-IT"/>
              </w:rPr>
              <w:t xml:space="preserve">Modulo 1: Che cos'è la </w:t>
            </w:r>
            <w:r w:rsidRPr="008F1D37">
              <w:rPr>
                <w:rFonts w:ascii="Arial" w:eastAsia="Arial" w:hAnsi="Arial" w:cs="Arial"/>
                <w:i/>
                <w:noProof/>
                <w:color w:val="FFFFFF"/>
                <w:lang w:val="it-IT"/>
              </w:rPr>
              <w:t>Digital Health Literacy</w:t>
            </w:r>
            <w:r w:rsidRPr="008F1D37">
              <w:rPr>
                <w:rFonts w:ascii="Arial" w:eastAsia="Arial" w:hAnsi="Arial" w:cs="Arial"/>
                <w:noProof/>
                <w:color w:val="FFFFFF"/>
                <w:lang w:val="it-IT"/>
              </w:rPr>
              <w:t xml:space="preserve"> (alfabetizzazione sanitaria digitale)?</w:t>
            </w:r>
          </w:p>
        </w:tc>
      </w:tr>
      <w:tr w:rsidR="009842E7" w:rsidRPr="008F1D37" w14:paraId="6A1E95A1"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A1E95A0" w14:textId="51F40DD8" w:rsidR="009842E7" w:rsidRPr="008F1D37" w:rsidRDefault="00D74BEE">
            <w:pPr>
              <w:pBdr>
                <w:top w:val="nil"/>
                <w:left w:val="nil"/>
                <w:bottom w:val="nil"/>
                <w:right w:val="nil"/>
                <w:between w:val="nil"/>
              </w:pBdr>
              <w:spacing w:line="312" w:lineRule="auto"/>
              <w:rPr>
                <w:rFonts w:ascii="Arial" w:eastAsia="Arial" w:hAnsi="Arial" w:cs="Arial"/>
                <w:noProof/>
                <w:color w:val="FFFFFF"/>
                <w:sz w:val="22"/>
                <w:szCs w:val="22"/>
                <w:lang w:val="it-IT"/>
              </w:rPr>
            </w:pPr>
            <w:r w:rsidRPr="008F1D37">
              <w:rPr>
                <w:rFonts w:ascii="Arial" w:hAnsi="Arial" w:cs="Arial"/>
                <w:noProof/>
                <w:sz w:val="22"/>
                <w:szCs w:val="22"/>
                <w:lang w:val="it-IT"/>
              </w:rPr>
              <w:t>Modulo 2: I principali problemi di salute quando si arriva in un nuovo paese</w:t>
            </w:r>
          </w:p>
        </w:tc>
      </w:tr>
      <w:tr w:rsidR="009842E7" w:rsidRPr="008F1D37" w14:paraId="6A1E95A3"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A1E95A2" w14:textId="49DA3D24" w:rsidR="009842E7" w:rsidRPr="008F1D37" w:rsidRDefault="000512B4">
            <w:pPr>
              <w:pBdr>
                <w:top w:val="nil"/>
                <w:left w:val="nil"/>
                <w:bottom w:val="nil"/>
                <w:right w:val="nil"/>
                <w:between w:val="nil"/>
              </w:pBdr>
              <w:spacing w:line="312" w:lineRule="auto"/>
              <w:rPr>
                <w:rFonts w:ascii="Arial" w:eastAsia="Arial" w:hAnsi="Arial" w:cs="Arial"/>
                <w:noProof/>
                <w:color w:val="FFFFFF"/>
                <w:sz w:val="22"/>
                <w:szCs w:val="22"/>
                <w:lang w:val="it-IT"/>
              </w:rPr>
            </w:pPr>
            <w:r w:rsidRPr="008F1D37">
              <w:rPr>
                <w:rFonts w:ascii="Arial" w:eastAsia="Arial" w:hAnsi="Arial" w:cs="Arial"/>
                <w:noProof/>
                <w:color w:val="FFFFFF"/>
                <w:sz w:val="22"/>
                <w:szCs w:val="22"/>
                <w:lang w:val="it-IT"/>
              </w:rPr>
              <w:t>Modul</w:t>
            </w:r>
            <w:r w:rsidR="00D74BEE" w:rsidRPr="008F1D37">
              <w:rPr>
                <w:rFonts w:ascii="Arial" w:eastAsia="Arial" w:hAnsi="Arial" w:cs="Arial"/>
                <w:noProof/>
                <w:color w:val="FFFFFF"/>
                <w:sz w:val="22"/>
                <w:szCs w:val="22"/>
                <w:lang w:val="it-IT"/>
              </w:rPr>
              <w:t>o</w:t>
            </w:r>
            <w:r w:rsidRPr="008F1D37">
              <w:rPr>
                <w:rFonts w:ascii="Arial" w:eastAsia="Arial" w:hAnsi="Arial" w:cs="Arial"/>
                <w:noProof/>
                <w:color w:val="FFFFFF"/>
                <w:sz w:val="22"/>
                <w:szCs w:val="22"/>
                <w:lang w:val="it-IT"/>
              </w:rPr>
              <w:t xml:space="preserve"> 3: </w:t>
            </w:r>
            <w:r w:rsidR="00D74BEE" w:rsidRPr="008F1D37">
              <w:rPr>
                <w:rFonts w:ascii="Arial" w:eastAsia="Arial" w:hAnsi="Arial" w:cs="Arial"/>
                <w:noProof/>
                <w:color w:val="FFFFFF"/>
                <w:sz w:val="22"/>
                <w:szCs w:val="22"/>
                <w:lang w:val="it-IT"/>
              </w:rPr>
              <w:t>I servizi sanitari</w:t>
            </w:r>
          </w:p>
        </w:tc>
      </w:tr>
      <w:tr w:rsidR="009842E7" w:rsidRPr="008F1D37" w14:paraId="6A1E95A5"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A1E95A4" w14:textId="60DC9065" w:rsidR="009842E7" w:rsidRPr="008F1D37" w:rsidRDefault="002A3046">
            <w:pPr>
              <w:pBdr>
                <w:top w:val="nil"/>
                <w:left w:val="nil"/>
                <w:bottom w:val="nil"/>
                <w:right w:val="nil"/>
                <w:between w:val="nil"/>
              </w:pBdr>
              <w:spacing w:line="312" w:lineRule="auto"/>
              <w:rPr>
                <w:rFonts w:ascii="Arial" w:eastAsia="Arial" w:hAnsi="Arial" w:cs="Arial"/>
                <w:noProof/>
                <w:color w:val="FFFFFF"/>
                <w:sz w:val="22"/>
                <w:szCs w:val="22"/>
                <w:lang w:val="it-IT"/>
              </w:rPr>
            </w:pPr>
            <w:r w:rsidRPr="008F1D37">
              <w:rPr>
                <w:rFonts w:ascii="Arial" w:hAnsi="Arial" w:cs="Arial"/>
                <w:noProof/>
                <w:color w:val="FFFFFF" w:themeColor="background1"/>
                <w:sz w:val="22"/>
                <w:szCs w:val="22"/>
                <w:lang w:val="it-IT"/>
              </w:rPr>
              <w:t xml:space="preserve">Modulo 4: </w:t>
            </w:r>
            <w:r w:rsidRPr="008F1D37">
              <w:rPr>
                <w:rFonts w:ascii="Arial" w:eastAsia="Arial" w:hAnsi="Arial" w:cs="Arial"/>
                <w:noProof/>
                <w:color w:val="FFFFFF"/>
                <w:sz w:val="22"/>
                <w:szCs w:val="22"/>
                <w:lang w:val="it-IT"/>
              </w:rPr>
              <w:t>Diventare digitalmente alfabetizzati</w:t>
            </w:r>
          </w:p>
        </w:tc>
      </w:tr>
      <w:tr w:rsidR="009842E7" w:rsidRPr="008F1D37" w14:paraId="6A1E95A7"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6A1E95A6" w14:textId="428A87F3" w:rsidR="009842E7" w:rsidRPr="008F1D37" w:rsidRDefault="000512B4">
            <w:pPr>
              <w:pBdr>
                <w:top w:val="nil"/>
                <w:left w:val="nil"/>
                <w:bottom w:val="nil"/>
                <w:right w:val="nil"/>
                <w:between w:val="nil"/>
              </w:pBdr>
              <w:spacing w:line="312" w:lineRule="auto"/>
              <w:rPr>
                <w:rFonts w:ascii="Arial" w:eastAsia="Arial" w:hAnsi="Arial" w:cs="Arial"/>
                <w:b/>
                <w:noProof/>
                <w:color w:val="000000"/>
                <w:sz w:val="22"/>
                <w:szCs w:val="22"/>
                <w:lang w:val="it-IT"/>
              </w:rPr>
            </w:pPr>
            <w:r w:rsidRPr="006D218B">
              <w:rPr>
                <w:rFonts w:ascii="Arial" w:eastAsia="Arial" w:hAnsi="Arial" w:cs="Arial"/>
                <w:b/>
                <w:noProof/>
                <w:color w:val="FFFFFF" w:themeColor="background1"/>
                <w:sz w:val="22"/>
                <w:szCs w:val="22"/>
                <w:lang w:val="it-IT"/>
              </w:rPr>
              <w:t>Modul</w:t>
            </w:r>
            <w:r w:rsidR="002A3046" w:rsidRPr="006D218B">
              <w:rPr>
                <w:rFonts w:ascii="Arial" w:eastAsia="Arial" w:hAnsi="Arial" w:cs="Arial"/>
                <w:b/>
                <w:noProof/>
                <w:color w:val="FFFFFF" w:themeColor="background1"/>
                <w:sz w:val="22"/>
                <w:szCs w:val="22"/>
                <w:lang w:val="it-IT"/>
              </w:rPr>
              <w:t>o</w:t>
            </w:r>
            <w:r w:rsidRPr="006D218B">
              <w:rPr>
                <w:rFonts w:ascii="Arial" w:eastAsia="Arial" w:hAnsi="Arial" w:cs="Arial"/>
                <w:b/>
                <w:noProof/>
                <w:color w:val="FFFFFF" w:themeColor="background1"/>
                <w:sz w:val="22"/>
                <w:szCs w:val="22"/>
                <w:lang w:val="it-IT"/>
              </w:rPr>
              <w:t xml:space="preserve"> 5: E</w:t>
            </w:r>
            <w:r w:rsidR="002A3046" w:rsidRPr="006D218B">
              <w:rPr>
                <w:rFonts w:ascii="Arial" w:eastAsia="Arial" w:hAnsi="Arial" w:cs="Arial"/>
                <w:b/>
                <w:noProof/>
                <w:color w:val="FFFFFF" w:themeColor="background1"/>
                <w:sz w:val="22"/>
                <w:szCs w:val="22"/>
                <w:lang w:val="it-IT"/>
              </w:rPr>
              <w:t>splorazione degli strumenti per la salute digitale</w:t>
            </w:r>
          </w:p>
        </w:tc>
      </w:tr>
      <w:tr w:rsidR="009842E7" w:rsidRPr="008F1D37" w14:paraId="6A1E95A9"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A1E95A8" w14:textId="4937BF39" w:rsidR="009842E7" w:rsidRPr="008F1D37" w:rsidRDefault="002A3046">
            <w:pPr>
              <w:pBdr>
                <w:top w:val="nil"/>
                <w:left w:val="nil"/>
                <w:bottom w:val="nil"/>
                <w:right w:val="nil"/>
                <w:between w:val="nil"/>
              </w:pBdr>
              <w:spacing w:line="312" w:lineRule="auto"/>
              <w:rPr>
                <w:rFonts w:ascii="Arial" w:eastAsia="Arial" w:hAnsi="Arial" w:cs="Arial"/>
                <w:noProof/>
                <w:color w:val="FFFFFF"/>
                <w:sz w:val="22"/>
                <w:szCs w:val="22"/>
                <w:lang w:val="it-IT"/>
              </w:rPr>
            </w:pPr>
            <w:r w:rsidRPr="008F1D37">
              <w:rPr>
                <w:rFonts w:ascii="Arial" w:hAnsi="Arial" w:cs="Arial"/>
                <w:noProof/>
                <w:sz w:val="22"/>
                <w:szCs w:val="22"/>
                <w:lang w:val="it-IT"/>
              </w:rPr>
              <w:t>Modulo 6: Essere attivi nell'ambiente della salute digitale</w:t>
            </w:r>
          </w:p>
        </w:tc>
      </w:tr>
    </w:tbl>
    <w:p w14:paraId="6A1E95AA" w14:textId="4CC56EC1" w:rsidR="009842E7" w:rsidRPr="008F1D37" w:rsidRDefault="002A3046">
      <w:pPr>
        <w:rPr>
          <w:noProof/>
          <w:lang w:val="it-IT"/>
        </w:rPr>
      </w:pPr>
      <w:r w:rsidRPr="008F1D37">
        <w:rPr>
          <w:noProof/>
          <w:lang w:val="it-IT"/>
        </w:rPr>
        <w:t>Ulteriori informazioni sono disponibili sul sito web</w:t>
      </w:r>
      <w:r w:rsidR="000512B4" w:rsidRPr="008F1D37">
        <w:rPr>
          <w:noProof/>
          <w:lang w:val="it-IT"/>
        </w:rPr>
        <w:t>:</w:t>
      </w:r>
      <w:r w:rsidR="000512B4" w:rsidRPr="008F1D37">
        <w:rPr>
          <w:noProof/>
          <w:color w:val="2E75B5"/>
          <w:lang w:val="it-IT"/>
        </w:rPr>
        <w:t xml:space="preserve"> </w:t>
      </w:r>
      <w:r w:rsidR="000512B4" w:rsidRPr="008F1D37">
        <w:rPr>
          <w:noProof/>
          <w:lang w:val="it-IT"/>
        </w:rPr>
        <w:t xml:space="preserve"> </w:t>
      </w:r>
      <w:hyperlink r:id="rId19">
        <w:r w:rsidR="000512B4" w:rsidRPr="008F1D37">
          <w:rPr>
            <w:noProof/>
            <w:color w:val="0563C1"/>
            <w:u w:val="single"/>
            <w:lang w:val="it-IT"/>
          </w:rPr>
          <w:t>https://mig-dhl.eu/</w:t>
        </w:r>
      </w:hyperlink>
      <w:r w:rsidR="000512B4" w:rsidRPr="008F1D37">
        <w:rPr>
          <w:noProof/>
          <w:lang w:val="it-IT"/>
        </w:rPr>
        <w:t xml:space="preserve"> </w:t>
      </w:r>
    </w:p>
    <w:p w14:paraId="6A1E95AB" w14:textId="77777777" w:rsidR="009842E7" w:rsidRPr="008F1D37" w:rsidRDefault="000512B4">
      <w:pPr>
        <w:rPr>
          <w:noProof/>
          <w:lang w:val="it-IT"/>
        </w:rPr>
      </w:pPr>
      <w:r w:rsidRPr="008F1D37">
        <w:rPr>
          <w:noProof/>
          <w:lang w:val="it-IT"/>
        </w:rPr>
        <w:br w:type="page"/>
      </w:r>
    </w:p>
    <w:p w14:paraId="6A1E95AC" w14:textId="77777777" w:rsidR="009842E7" w:rsidRPr="008F1D37" w:rsidRDefault="009842E7">
      <w:pPr>
        <w:jc w:val="center"/>
        <w:rPr>
          <w:noProof/>
          <w:lang w:val="it-IT"/>
        </w:rPr>
      </w:pPr>
    </w:p>
    <w:p w14:paraId="221C4796" w14:textId="77777777" w:rsidR="002A3046" w:rsidRPr="008F1D37" w:rsidRDefault="002A3046" w:rsidP="002A3046">
      <w:pPr>
        <w:jc w:val="center"/>
        <w:rPr>
          <w:b/>
          <w:noProof/>
          <w:color w:val="002060"/>
          <w:lang w:val="it-IT"/>
        </w:rPr>
      </w:pPr>
      <w:r w:rsidRPr="008F1D37">
        <w:rPr>
          <w:b/>
          <w:noProof/>
          <w:color w:val="002060"/>
          <w:lang w:val="it-IT"/>
        </w:rPr>
        <w:t>Dichiarazione sul copyright:</w:t>
      </w:r>
    </w:p>
    <w:p w14:paraId="31F31C2F" w14:textId="77777777" w:rsidR="002A3046" w:rsidRPr="008F1D37" w:rsidRDefault="002A3046" w:rsidP="002A3046">
      <w:pPr>
        <w:jc w:val="center"/>
        <w:rPr>
          <w:b/>
          <w:noProof/>
          <w:color w:val="002060"/>
          <w:lang w:val="it-IT"/>
        </w:rPr>
      </w:pPr>
      <w:r w:rsidRPr="008F1D37">
        <w:rPr>
          <w:b/>
          <w:noProof/>
          <w:color w:val="002060"/>
          <w:lang w:val="it-IT"/>
        </w:rPr>
        <w:drawing>
          <wp:inline distT="0" distB="0" distL="0" distR="0" wp14:anchorId="37F22C1D" wp14:editId="60931319">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0"/>
                    <a:srcRect/>
                    <a:stretch>
                      <a:fillRect/>
                    </a:stretch>
                  </pic:blipFill>
                  <pic:spPr>
                    <a:xfrm>
                      <a:off x="0" y="0"/>
                      <a:ext cx="1406013" cy="492105"/>
                    </a:xfrm>
                    <a:prstGeom prst="rect">
                      <a:avLst/>
                    </a:prstGeom>
                    <a:ln/>
                  </pic:spPr>
                </pic:pic>
              </a:graphicData>
            </a:graphic>
          </wp:inline>
        </w:drawing>
      </w:r>
    </w:p>
    <w:p w14:paraId="568D16FB" w14:textId="77777777" w:rsidR="002A3046" w:rsidRPr="008F1D37" w:rsidRDefault="002A3046" w:rsidP="002A3046">
      <w:pPr>
        <w:jc w:val="center"/>
        <w:rPr>
          <w:noProof/>
          <w:sz w:val="22"/>
          <w:lang w:val="it-IT" w:eastAsia="en-GB"/>
        </w:rPr>
      </w:pPr>
      <w:r w:rsidRPr="008F1D37">
        <w:rPr>
          <w:noProof/>
          <w:sz w:val="22"/>
          <w:lang w:val="it-IT"/>
        </w:rPr>
        <w:br/>
      </w:r>
      <w:r w:rsidRPr="008F1D37">
        <w:rPr>
          <w:noProof/>
          <w:sz w:val="22"/>
          <w:lang w:val="it-IT" w:eastAsia="en-GB"/>
        </w:rPr>
        <w:t xml:space="preserve">Quest'opera è rilasciata con </w:t>
      </w:r>
      <w:r w:rsidRPr="008F1D37">
        <w:rPr>
          <w:i/>
          <w:noProof/>
          <w:sz w:val="22"/>
          <w:lang w:val="it-IT" w:eastAsia="en-GB"/>
        </w:rPr>
        <w:t>Creative Commons Attribution-NonCommercial-ShareAlike 4.0 International License</w:t>
      </w:r>
      <w:r w:rsidRPr="008F1D37">
        <w:rPr>
          <w:noProof/>
          <w:sz w:val="22"/>
          <w:lang w:val="it-IT" w:eastAsia="en-GB"/>
        </w:rPr>
        <w:t>. Siete liberi di:</w:t>
      </w:r>
    </w:p>
    <w:p w14:paraId="7DB78833" w14:textId="77777777" w:rsidR="002A3046" w:rsidRPr="008F1D37" w:rsidRDefault="002A3046" w:rsidP="002A3046">
      <w:pPr>
        <w:pStyle w:val="a6"/>
        <w:numPr>
          <w:ilvl w:val="0"/>
          <w:numId w:val="12"/>
        </w:numPr>
        <w:spacing w:before="100" w:beforeAutospacing="1" w:after="200" w:line="312" w:lineRule="auto"/>
        <w:rPr>
          <w:noProof/>
          <w:sz w:val="22"/>
          <w:lang w:val="it-IT"/>
        </w:rPr>
      </w:pPr>
      <w:r w:rsidRPr="008F1D37">
        <w:rPr>
          <w:noProof/>
          <w:sz w:val="22"/>
          <w:lang w:val="it-IT"/>
        </w:rPr>
        <w:t>Condividere, copiare e ridistribuire il materiale su qualsiasi supporto o formato</w:t>
      </w:r>
    </w:p>
    <w:p w14:paraId="04F117C0" w14:textId="77777777" w:rsidR="002A3046" w:rsidRPr="008F1D37" w:rsidRDefault="002A3046" w:rsidP="002A3046">
      <w:pPr>
        <w:pStyle w:val="a6"/>
        <w:numPr>
          <w:ilvl w:val="0"/>
          <w:numId w:val="12"/>
        </w:numPr>
        <w:spacing w:before="100" w:beforeAutospacing="1" w:after="200" w:line="312" w:lineRule="auto"/>
        <w:rPr>
          <w:noProof/>
          <w:sz w:val="22"/>
          <w:lang w:val="it-IT"/>
        </w:rPr>
      </w:pPr>
      <w:r w:rsidRPr="008F1D37">
        <w:rPr>
          <w:noProof/>
          <w:sz w:val="22"/>
          <w:lang w:val="it-IT"/>
        </w:rPr>
        <w:t xml:space="preserve">Adattare, trasformare e implementare il materiale </w:t>
      </w:r>
    </w:p>
    <w:p w14:paraId="3028C0BF" w14:textId="77777777" w:rsidR="002A3046" w:rsidRPr="008F1D37" w:rsidRDefault="002A3046" w:rsidP="002A3046">
      <w:pPr>
        <w:rPr>
          <w:noProof/>
          <w:color w:val="262626" w:themeColor="text1" w:themeTint="D9"/>
          <w:sz w:val="22"/>
          <w:lang w:val="it-IT"/>
        </w:rPr>
      </w:pPr>
      <w:r w:rsidRPr="008F1D37">
        <w:rPr>
          <w:noProof/>
          <w:color w:val="262626" w:themeColor="text1" w:themeTint="D9"/>
          <w:sz w:val="22"/>
          <w:lang w:val="it-IT"/>
        </w:rPr>
        <w:t>alle seguenti condizioni:</w:t>
      </w:r>
    </w:p>
    <w:p w14:paraId="2677285E" w14:textId="77777777" w:rsidR="002A3046" w:rsidRPr="008F1D37" w:rsidRDefault="002A3046" w:rsidP="002A3046">
      <w:pPr>
        <w:pStyle w:val="a6"/>
        <w:numPr>
          <w:ilvl w:val="0"/>
          <w:numId w:val="12"/>
        </w:numPr>
        <w:spacing w:before="100" w:beforeAutospacing="1" w:after="200" w:line="312" w:lineRule="auto"/>
        <w:rPr>
          <w:noProof/>
          <w:sz w:val="22"/>
          <w:lang w:val="it-IT"/>
        </w:rPr>
      </w:pPr>
      <w:r w:rsidRPr="008F1D37">
        <w:rPr>
          <w:rFonts w:eastAsia="MyriadPro-Regular"/>
          <w:noProof/>
          <w:sz w:val="22"/>
          <w:u w:val="single"/>
          <w:lang w:val="it-IT" w:eastAsia="en-US"/>
        </w:rPr>
        <w:t>Attribuzione</w:t>
      </w:r>
      <w:r w:rsidRPr="008F1D37">
        <w:rPr>
          <w:rFonts w:eastAsia="MyriadPro-Regular"/>
          <w:noProof/>
          <w:sz w:val="22"/>
          <w:lang w:val="it-IT" w:eastAsia="en-US"/>
        </w:rPr>
        <w:t xml:space="preserve"> - È necessario dare il giusto credito, fornire un link alla licenza e indicare se sono state apportate modifiche. Potete farlo in qualsiasi modo ragionevole, ma non in modo da suggerire che il licenziante approvi voi o il vostro uso.</w:t>
      </w:r>
    </w:p>
    <w:p w14:paraId="445474D7" w14:textId="77777777" w:rsidR="002A3046" w:rsidRPr="008F1D37" w:rsidRDefault="002A3046" w:rsidP="002A3046">
      <w:pPr>
        <w:pStyle w:val="a6"/>
        <w:numPr>
          <w:ilvl w:val="0"/>
          <w:numId w:val="12"/>
        </w:numPr>
        <w:spacing w:before="100" w:beforeAutospacing="1" w:after="200" w:line="312" w:lineRule="auto"/>
        <w:rPr>
          <w:noProof/>
          <w:sz w:val="22"/>
          <w:lang w:val="it-IT"/>
        </w:rPr>
      </w:pPr>
      <w:r w:rsidRPr="008F1D37">
        <w:rPr>
          <w:noProof/>
          <w:sz w:val="22"/>
          <w:u w:val="single"/>
          <w:lang w:val="it-IT"/>
        </w:rPr>
        <w:t>Non commerciale</w:t>
      </w:r>
      <w:r w:rsidRPr="008F1D37">
        <w:rPr>
          <w:noProof/>
          <w:sz w:val="22"/>
          <w:lang w:val="it-IT"/>
        </w:rPr>
        <w:t xml:space="preserve"> - Non è consentito utilizzare il materiale per scopi commerciali.</w:t>
      </w:r>
    </w:p>
    <w:p w14:paraId="77133C03" w14:textId="77777777" w:rsidR="002A3046" w:rsidRPr="008F1D37" w:rsidRDefault="002A3046" w:rsidP="002A3046">
      <w:pPr>
        <w:pStyle w:val="a6"/>
        <w:numPr>
          <w:ilvl w:val="0"/>
          <w:numId w:val="12"/>
        </w:numPr>
        <w:spacing w:before="100" w:beforeAutospacing="1" w:after="200" w:line="312" w:lineRule="auto"/>
        <w:rPr>
          <w:noProof/>
          <w:sz w:val="22"/>
          <w:lang w:val="it-IT"/>
        </w:rPr>
      </w:pPr>
      <w:r w:rsidRPr="008F1D37">
        <w:rPr>
          <w:noProof/>
          <w:sz w:val="22"/>
          <w:u w:val="single"/>
          <w:lang w:val="it-IT"/>
        </w:rPr>
        <w:t>ShareAlike</w:t>
      </w:r>
      <w:r w:rsidRPr="008F1D37">
        <w:rPr>
          <w:noProof/>
          <w:sz w:val="22"/>
          <w:lang w:val="it-IT"/>
        </w:rPr>
        <w:t xml:space="preserve"> – Se adattate, trasformate o implementate il materiale, dovete distribuire i vostri contributi con la stessa licenza dell'originale.</w:t>
      </w:r>
    </w:p>
    <w:p w14:paraId="6A1E95B7" w14:textId="77777777" w:rsidR="009842E7" w:rsidRPr="008F1D37" w:rsidRDefault="009842E7">
      <w:pPr>
        <w:pBdr>
          <w:top w:val="nil"/>
          <w:left w:val="nil"/>
          <w:bottom w:val="nil"/>
          <w:right w:val="nil"/>
          <w:between w:val="nil"/>
        </w:pBdr>
        <w:rPr>
          <w:noProof/>
          <w:color w:val="000000"/>
          <w:lang w:val="it-IT"/>
        </w:rPr>
      </w:pPr>
    </w:p>
    <w:p w14:paraId="6A1E95B8" w14:textId="77777777" w:rsidR="009842E7" w:rsidRPr="008F1D37" w:rsidRDefault="009842E7">
      <w:pPr>
        <w:pBdr>
          <w:top w:val="nil"/>
          <w:left w:val="nil"/>
          <w:bottom w:val="nil"/>
          <w:right w:val="nil"/>
          <w:between w:val="nil"/>
        </w:pBdr>
        <w:rPr>
          <w:noProof/>
          <w:color w:val="000000"/>
          <w:lang w:val="it-IT"/>
        </w:rPr>
      </w:pPr>
    </w:p>
    <w:p w14:paraId="6A1E95B9" w14:textId="77777777" w:rsidR="009842E7" w:rsidRPr="008F1D37" w:rsidRDefault="009842E7">
      <w:pPr>
        <w:pBdr>
          <w:top w:val="nil"/>
          <w:left w:val="nil"/>
          <w:bottom w:val="nil"/>
          <w:right w:val="nil"/>
          <w:between w:val="nil"/>
        </w:pBdr>
        <w:rPr>
          <w:noProof/>
          <w:color w:val="000000"/>
          <w:lang w:val="it-IT"/>
        </w:rPr>
      </w:pPr>
    </w:p>
    <w:p w14:paraId="6A1E95BA" w14:textId="77777777" w:rsidR="009842E7" w:rsidRPr="008F1D37" w:rsidRDefault="009842E7">
      <w:pPr>
        <w:pBdr>
          <w:top w:val="nil"/>
          <w:left w:val="nil"/>
          <w:bottom w:val="nil"/>
          <w:right w:val="nil"/>
          <w:between w:val="nil"/>
        </w:pBdr>
        <w:rPr>
          <w:noProof/>
          <w:color w:val="000000"/>
          <w:lang w:val="it-IT"/>
        </w:rPr>
      </w:pPr>
    </w:p>
    <w:p w14:paraId="6A1E95BB" w14:textId="77777777" w:rsidR="009842E7" w:rsidRPr="008F1D37" w:rsidRDefault="009842E7">
      <w:pPr>
        <w:pBdr>
          <w:top w:val="nil"/>
          <w:left w:val="nil"/>
          <w:bottom w:val="nil"/>
          <w:right w:val="nil"/>
          <w:between w:val="nil"/>
        </w:pBdr>
        <w:rPr>
          <w:noProof/>
          <w:color w:val="000000"/>
          <w:lang w:val="it-IT"/>
        </w:rPr>
      </w:pPr>
    </w:p>
    <w:p w14:paraId="6A1E95BC" w14:textId="77777777" w:rsidR="009842E7" w:rsidRPr="008F1D37" w:rsidRDefault="009842E7">
      <w:pPr>
        <w:pBdr>
          <w:top w:val="nil"/>
          <w:left w:val="nil"/>
          <w:bottom w:val="nil"/>
          <w:right w:val="nil"/>
          <w:between w:val="nil"/>
        </w:pBdr>
        <w:rPr>
          <w:noProof/>
          <w:color w:val="000000"/>
          <w:lang w:val="it-IT"/>
        </w:rPr>
      </w:pPr>
    </w:p>
    <w:p w14:paraId="6A1E95BD" w14:textId="77777777" w:rsidR="009842E7" w:rsidRPr="008F1D37" w:rsidRDefault="009842E7">
      <w:pPr>
        <w:pBdr>
          <w:top w:val="nil"/>
          <w:left w:val="nil"/>
          <w:bottom w:val="nil"/>
          <w:right w:val="nil"/>
          <w:between w:val="nil"/>
        </w:pBdr>
        <w:rPr>
          <w:noProof/>
          <w:color w:val="000000"/>
          <w:lang w:val="it-IT"/>
        </w:rPr>
      </w:pPr>
    </w:p>
    <w:p w14:paraId="6A1E95BE" w14:textId="055099A0" w:rsidR="009842E7" w:rsidRPr="008F1D37" w:rsidRDefault="009842E7">
      <w:pPr>
        <w:pBdr>
          <w:top w:val="nil"/>
          <w:left w:val="nil"/>
          <w:bottom w:val="nil"/>
          <w:right w:val="nil"/>
          <w:between w:val="nil"/>
        </w:pBdr>
        <w:rPr>
          <w:noProof/>
          <w:color w:val="000000"/>
          <w:lang w:val="it-IT"/>
        </w:rPr>
      </w:pPr>
    </w:p>
    <w:p w14:paraId="0022460D" w14:textId="3DE619AB" w:rsidR="002A3046" w:rsidRPr="008F1D37" w:rsidRDefault="002A3046">
      <w:pPr>
        <w:pBdr>
          <w:top w:val="nil"/>
          <w:left w:val="nil"/>
          <w:bottom w:val="nil"/>
          <w:right w:val="nil"/>
          <w:between w:val="nil"/>
        </w:pBdr>
        <w:rPr>
          <w:noProof/>
          <w:color w:val="000000"/>
          <w:lang w:val="it-IT"/>
        </w:rPr>
      </w:pPr>
    </w:p>
    <w:p w14:paraId="3F7390C3" w14:textId="77777777" w:rsidR="002A3046" w:rsidRPr="008F1D37" w:rsidRDefault="002A3046">
      <w:pPr>
        <w:pBdr>
          <w:top w:val="nil"/>
          <w:left w:val="nil"/>
          <w:bottom w:val="nil"/>
          <w:right w:val="nil"/>
          <w:between w:val="nil"/>
        </w:pBdr>
        <w:rPr>
          <w:noProof/>
          <w:color w:val="000000"/>
          <w:lang w:val="it-IT"/>
        </w:rPr>
      </w:pPr>
    </w:p>
    <w:p w14:paraId="6A1E95BF" w14:textId="48673E91" w:rsidR="009842E7" w:rsidRPr="008F1D37" w:rsidRDefault="000512B4">
      <w:pPr>
        <w:keepNext/>
        <w:keepLines/>
        <w:pBdr>
          <w:top w:val="nil"/>
          <w:left w:val="nil"/>
          <w:bottom w:val="nil"/>
          <w:right w:val="nil"/>
          <w:between w:val="nil"/>
        </w:pBdr>
        <w:spacing w:before="240" w:after="0" w:line="259" w:lineRule="auto"/>
        <w:jc w:val="center"/>
        <w:rPr>
          <w:b/>
          <w:noProof/>
          <w:color w:val="000000"/>
          <w:lang w:val="it-IT"/>
        </w:rPr>
      </w:pPr>
      <w:r w:rsidRPr="008F1D37">
        <w:rPr>
          <w:b/>
          <w:noProof/>
          <w:color w:val="000000"/>
          <w:lang w:val="it-IT"/>
        </w:rPr>
        <w:t>Conten</w:t>
      </w:r>
      <w:r w:rsidR="002A3046" w:rsidRPr="008F1D37">
        <w:rPr>
          <w:b/>
          <w:noProof/>
          <w:color w:val="000000"/>
          <w:lang w:val="it-IT"/>
        </w:rPr>
        <w:t>u</w:t>
      </w:r>
      <w:r w:rsidRPr="008F1D37">
        <w:rPr>
          <w:b/>
          <w:noProof/>
          <w:color w:val="000000"/>
          <w:lang w:val="it-IT"/>
        </w:rPr>
        <w:t>t</w:t>
      </w:r>
      <w:r w:rsidR="002A3046" w:rsidRPr="008F1D37">
        <w:rPr>
          <w:b/>
          <w:noProof/>
          <w:color w:val="000000"/>
          <w:lang w:val="it-IT"/>
        </w:rPr>
        <w:t>o</w:t>
      </w:r>
    </w:p>
    <w:sdt>
      <w:sdtPr>
        <w:rPr>
          <w:noProof/>
          <w:lang w:val="it-IT"/>
        </w:rPr>
        <w:id w:val="-985858256"/>
        <w:docPartObj>
          <w:docPartGallery w:val="Table of Contents"/>
          <w:docPartUnique/>
        </w:docPartObj>
      </w:sdtPr>
      <w:sdtContent>
        <w:p w14:paraId="79010573" w14:textId="46F0C4FA" w:rsidR="00CD0B6B" w:rsidRDefault="000512B4">
          <w:pPr>
            <w:pStyle w:val="10"/>
            <w:tabs>
              <w:tab w:val="left" w:pos="480"/>
              <w:tab w:val="right" w:pos="9062"/>
            </w:tabs>
            <w:rPr>
              <w:rFonts w:asciiTheme="minorHAnsi" w:eastAsiaTheme="minorEastAsia" w:hAnsiTheme="minorHAnsi" w:cstheme="minorBidi"/>
              <w:noProof/>
              <w:sz w:val="22"/>
              <w:szCs w:val="22"/>
              <w:lang w:val="it-IT" w:eastAsia="it-IT"/>
            </w:rPr>
          </w:pPr>
          <w:r w:rsidRPr="008F1D37">
            <w:rPr>
              <w:noProof/>
              <w:lang w:val="it-IT"/>
            </w:rPr>
            <w:fldChar w:fldCharType="begin"/>
          </w:r>
          <w:r w:rsidRPr="008F1D37">
            <w:rPr>
              <w:noProof/>
              <w:lang w:val="it-IT"/>
            </w:rPr>
            <w:instrText xml:space="preserve"> TOC \h \u \z </w:instrText>
          </w:r>
          <w:r w:rsidRPr="008F1D37">
            <w:rPr>
              <w:noProof/>
              <w:lang w:val="it-IT"/>
            </w:rPr>
            <w:fldChar w:fldCharType="separate"/>
          </w:r>
          <w:hyperlink w:anchor="_Toc112418144" w:history="1">
            <w:r w:rsidR="00CD0B6B" w:rsidRPr="0054033C">
              <w:rPr>
                <w:rStyle w:val="-"/>
                <w:noProof/>
                <w:lang w:val="it-IT"/>
              </w:rPr>
              <w:t>1.</w:t>
            </w:r>
            <w:r w:rsidR="00CD0B6B">
              <w:rPr>
                <w:rFonts w:asciiTheme="minorHAnsi" w:eastAsiaTheme="minorEastAsia" w:hAnsiTheme="minorHAnsi" w:cstheme="minorBidi"/>
                <w:noProof/>
                <w:sz w:val="22"/>
                <w:szCs w:val="22"/>
                <w:lang w:val="it-IT" w:eastAsia="it-IT"/>
              </w:rPr>
              <w:tab/>
            </w:r>
            <w:r w:rsidR="00CD0B6B" w:rsidRPr="0054033C">
              <w:rPr>
                <w:rStyle w:val="-"/>
                <w:noProof/>
                <w:lang w:val="it-IT"/>
              </w:rPr>
              <w:t>INTRODUZIONE AL MANUALE</w:t>
            </w:r>
            <w:r w:rsidR="00CD0B6B">
              <w:rPr>
                <w:noProof/>
                <w:webHidden/>
              </w:rPr>
              <w:tab/>
            </w:r>
            <w:r w:rsidR="00CD0B6B">
              <w:rPr>
                <w:noProof/>
                <w:webHidden/>
              </w:rPr>
              <w:fldChar w:fldCharType="begin"/>
            </w:r>
            <w:r w:rsidR="00CD0B6B">
              <w:rPr>
                <w:noProof/>
                <w:webHidden/>
              </w:rPr>
              <w:instrText xml:space="preserve"> PAGEREF _Toc112418144 \h </w:instrText>
            </w:r>
            <w:r w:rsidR="00CD0B6B">
              <w:rPr>
                <w:noProof/>
                <w:webHidden/>
              </w:rPr>
            </w:r>
            <w:r w:rsidR="00CD0B6B">
              <w:rPr>
                <w:noProof/>
                <w:webHidden/>
              </w:rPr>
              <w:fldChar w:fldCharType="separate"/>
            </w:r>
            <w:r w:rsidR="00FF3B4D">
              <w:rPr>
                <w:noProof/>
                <w:webHidden/>
              </w:rPr>
              <w:t>4</w:t>
            </w:r>
            <w:r w:rsidR="00CD0B6B">
              <w:rPr>
                <w:noProof/>
                <w:webHidden/>
              </w:rPr>
              <w:fldChar w:fldCharType="end"/>
            </w:r>
          </w:hyperlink>
        </w:p>
        <w:p w14:paraId="373AFF58" w14:textId="11E30F11" w:rsidR="00CD0B6B" w:rsidRDefault="00000000">
          <w:pPr>
            <w:pStyle w:val="10"/>
            <w:tabs>
              <w:tab w:val="left" w:pos="480"/>
              <w:tab w:val="right" w:pos="9062"/>
            </w:tabs>
            <w:rPr>
              <w:rFonts w:asciiTheme="minorHAnsi" w:eastAsiaTheme="minorEastAsia" w:hAnsiTheme="minorHAnsi" w:cstheme="minorBidi"/>
              <w:noProof/>
              <w:sz w:val="22"/>
              <w:szCs w:val="22"/>
              <w:lang w:val="it-IT" w:eastAsia="it-IT"/>
            </w:rPr>
          </w:pPr>
          <w:hyperlink w:anchor="_Toc112418145" w:history="1">
            <w:r w:rsidR="00CD0B6B" w:rsidRPr="0054033C">
              <w:rPr>
                <w:rStyle w:val="-"/>
                <w:noProof/>
                <w:lang w:val="it-IT"/>
              </w:rPr>
              <w:t>2.</w:t>
            </w:r>
            <w:r w:rsidR="00CD0B6B">
              <w:rPr>
                <w:rFonts w:asciiTheme="minorHAnsi" w:eastAsiaTheme="minorEastAsia" w:hAnsiTheme="minorHAnsi" w:cstheme="minorBidi"/>
                <w:noProof/>
                <w:sz w:val="22"/>
                <w:szCs w:val="22"/>
                <w:lang w:val="it-IT" w:eastAsia="it-IT"/>
              </w:rPr>
              <w:tab/>
            </w:r>
            <w:r w:rsidR="00CD0B6B" w:rsidRPr="0054033C">
              <w:rPr>
                <w:rStyle w:val="-"/>
                <w:noProof/>
                <w:lang w:val="it-IT"/>
              </w:rPr>
              <w:t>I PRINCIPALI STRUMENTI PER LA SANITÀ DIGITALE IN ITALIA</w:t>
            </w:r>
            <w:r w:rsidR="00CD0B6B">
              <w:rPr>
                <w:noProof/>
                <w:webHidden/>
              </w:rPr>
              <w:tab/>
            </w:r>
            <w:r w:rsidR="00CD0B6B">
              <w:rPr>
                <w:noProof/>
                <w:webHidden/>
              </w:rPr>
              <w:fldChar w:fldCharType="begin"/>
            </w:r>
            <w:r w:rsidR="00CD0B6B">
              <w:rPr>
                <w:noProof/>
                <w:webHidden/>
              </w:rPr>
              <w:instrText xml:space="preserve"> PAGEREF _Toc112418145 \h </w:instrText>
            </w:r>
            <w:r w:rsidR="00CD0B6B">
              <w:rPr>
                <w:noProof/>
                <w:webHidden/>
              </w:rPr>
            </w:r>
            <w:r w:rsidR="00CD0B6B">
              <w:rPr>
                <w:noProof/>
                <w:webHidden/>
              </w:rPr>
              <w:fldChar w:fldCharType="separate"/>
            </w:r>
            <w:r w:rsidR="00FF3B4D">
              <w:rPr>
                <w:noProof/>
                <w:webHidden/>
              </w:rPr>
              <w:t>6</w:t>
            </w:r>
            <w:r w:rsidR="00CD0B6B">
              <w:rPr>
                <w:noProof/>
                <w:webHidden/>
              </w:rPr>
              <w:fldChar w:fldCharType="end"/>
            </w:r>
          </w:hyperlink>
        </w:p>
        <w:p w14:paraId="6D62A277" w14:textId="14A51CD7" w:rsidR="00CD0B6B" w:rsidRDefault="00000000">
          <w:pPr>
            <w:pStyle w:val="20"/>
            <w:tabs>
              <w:tab w:val="right" w:pos="9062"/>
            </w:tabs>
            <w:rPr>
              <w:rFonts w:asciiTheme="minorHAnsi" w:eastAsiaTheme="minorEastAsia" w:hAnsiTheme="minorHAnsi" w:cstheme="minorBidi"/>
              <w:noProof/>
              <w:sz w:val="22"/>
              <w:szCs w:val="22"/>
              <w:lang w:val="it-IT" w:eastAsia="it-IT"/>
            </w:rPr>
          </w:pPr>
          <w:hyperlink w:anchor="_Toc112418146" w:history="1">
            <w:r w:rsidR="00CD0B6B" w:rsidRPr="0054033C">
              <w:rPr>
                <w:rStyle w:val="-"/>
                <w:noProof/>
                <w:lang w:val="it-IT"/>
              </w:rPr>
              <w:t>2.1 Strumenti istituzionali online</w:t>
            </w:r>
            <w:r w:rsidR="00CD0B6B">
              <w:rPr>
                <w:noProof/>
                <w:webHidden/>
              </w:rPr>
              <w:tab/>
            </w:r>
            <w:r w:rsidR="00CD0B6B">
              <w:rPr>
                <w:noProof/>
                <w:webHidden/>
              </w:rPr>
              <w:fldChar w:fldCharType="begin"/>
            </w:r>
            <w:r w:rsidR="00CD0B6B">
              <w:rPr>
                <w:noProof/>
                <w:webHidden/>
              </w:rPr>
              <w:instrText xml:space="preserve"> PAGEREF _Toc112418146 \h </w:instrText>
            </w:r>
            <w:r w:rsidR="00CD0B6B">
              <w:rPr>
                <w:noProof/>
                <w:webHidden/>
              </w:rPr>
            </w:r>
            <w:r w:rsidR="00CD0B6B">
              <w:rPr>
                <w:noProof/>
                <w:webHidden/>
              </w:rPr>
              <w:fldChar w:fldCharType="separate"/>
            </w:r>
            <w:r w:rsidR="00FF3B4D">
              <w:rPr>
                <w:noProof/>
                <w:webHidden/>
              </w:rPr>
              <w:t>7</w:t>
            </w:r>
            <w:r w:rsidR="00CD0B6B">
              <w:rPr>
                <w:noProof/>
                <w:webHidden/>
              </w:rPr>
              <w:fldChar w:fldCharType="end"/>
            </w:r>
          </w:hyperlink>
        </w:p>
        <w:p w14:paraId="7BFFA4B7" w14:textId="23B40BAB" w:rsidR="00CD0B6B" w:rsidRDefault="00000000">
          <w:pPr>
            <w:pStyle w:val="20"/>
            <w:tabs>
              <w:tab w:val="right" w:pos="9062"/>
            </w:tabs>
            <w:rPr>
              <w:rFonts w:asciiTheme="minorHAnsi" w:eastAsiaTheme="minorEastAsia" w:hAnsiTheme="minorHAnsi" w:cstheme="minorBidi"/>
              <w:noProof/>
              <w:sz w:val="22"/>
              <w:szCs w:val="22"/>
              <w:lang w:val="it-IT" w:eastAsia="it-IT"/>
            </w:rPr>
          </w:pPr>
          <w:hyperlink w:anchor="_Toc112418147" w:history="1">
            <w:r w:rsidR="00CD0B6B" w:rsidRPr="0054033C">
              <w:rPr>
                <w:rStyle w:val="-"/>
                <w:noProof/>
                <w:lang w:val="it-IT"/>
              </w:rPr>
              <w:t>2.1.1 Linee guida per l’accesso degli stranieri al SSN</w:t>
            </w:r>
            <w:r w:rsidR="00CD0B6B">
              <w:rPr>
                <w:noProof/>
                <w:webHidden/>
              </w:rPr>
              <w:tab/>
            </w:r>
            <w:r w:rsidR="00CD0B6B">
              <w:rPr>
                <w:noProof/>
                <w:webHidden/>
              </w:rPr>
              <w:fldChar w:fldCharType="begin"/>
            </w:r>
            <w:r w:rsidR="00CD0B6B">
              <w:rPr>
                <w:noProof/>
                <w:webHidden/>
              </w:rPr>
              <w:instrText xml:space="preserve"> PAGEREF _Toc112418147 \h </w:instrText>
            </w:r>
            <w:r w:rsidR="00CD0B6B">
              <w:rPr>
                <w:noProof/>
                <w:webHidden/>
              </w:rPr>
            </w:r>
            <w:r w:rsidR="00CD0B6B">
              <w:rPr>
                <w:noProof/>
                <w:webHidden/>
              </w:rPr>
              <w:fldChar w:fldCharType="separate"/>
            </w:r>
            <w:r w:rsidR="00FF3B4D">
              <w:rPr>
                <w:noProof/>
                <w:webHidden/>
              </w:rPr>
              <w:t>8</w:t>
            </w:r>
            <w:r w:rsidR="00CD0B6B">
              <w:rPr>
                <w:noProof/>
                <w:webHidden/>
              </w:rPr>
              <w:fldChar w:fldCharType="end"/>
            </w:r>
          </w:hyperlink>
        </w:p>
        <w:p w14:paraId="195EF97E" w14:textId="51EEC87A" w:rsidR="00CD0B6B" w:rsidRDefault="00000000">
          <w:pPr>
            <w:pStyle w:val="20"/>
            <w:tabs>
              <w:tab w:val="right" w:pos="9062"/>
            </w:tabs>
            <w:rPr>
              <w:rFonts w:asciiTheme="minorHAnsi" w:eastAsiaTheme="minorEastAsia" w:hAnsiTheme="minorHAnsi" w:cstheme="minorBidi"/>
              <w:noProof/>
              <w:sz w:val="22"/>
              <w:szCs w:val="22"/>
              <w:lang w:val="it-IT" w:eastAsia="it-IT"/>
            </w:rPr>
          </w:pPr>
          <w:hyperlink w:anchor="_Toc112418148" w:history="1">
            <w:r w:rsidR="00CD0B6B" w:rsidRPr="0054033C">
              <w:rPr>
                <w:rStyle w:val="-"/>
                <w:noProof/>
                <w:lang w:val="it-IT"/>
              </w:rPr>
              <w:t>2.2 Strumenti non istituzionali online</w:t>
            </w:r>
            <w:r w:rsidR="00CD0B6B">
              <w:rPr>
                <w:noProof/>
                <w:webHidden/>
              </w:rPr>
              <w:tab/>
            </w:r>
            <w:r w:rsidR="00CD0B6B">
              <w:rPr>
                <w:noProof/>
                <w:webHidden/>
              </w:rPr>
              <w:fldChar w:fldCharType="begin"/>
            </w:r>
            <w:r w:rsidR="00CD0B6B">
              <w:rPr>
                <w:noProof/>
                <w:webHidden/>
              </w:rPr>
              <w:instrText xml:space="preserve"> PAGEREF _Toc112418148 \h </w:instrText>
            </w:r>
            <w:r w:rsidR="00CD0B6B">
              <w:rPr>
                <w:noProof/>
                <w:webHidden/>
              </w:rPr>
            </w:r>
            <w:r w:rsidR="00CD0B6B">
              <w:rPr>
                <w:noProof/>
                <w:webHidden/>
              </w:rPr>
              <w:fldChar w:fldCharType="separate"/>
            </w:r>
            <w:r w:rsidR="00FF3B4D">
              <w:rPr>
                <w:noProof/>
                <w:webHidden/>
              </w:rPr>
              <w:t>8</w:t>
            </w:r>
            <w:r w:rsidR="00CD0B6B">
              <w:rPr>
                <w:noProof/>
                <w:webHidden/>
              </w:rPr>
              <w:fldChar w:fldCharType="end"/>
            </w:r>
          </w:hyperlink>
        </w:p>
        <w:p w14:paraId="6B9617BC" w14:textId="6C8B41CD" w:rsidR="00CD0B6B" w:rsidRDefault="00000000">
          <w:pPr>
            <w:pStyle w:val="20"/>
            <w:tabs>
              <w:tab w:val="right" w:pos="9062"/>
            </w:tabs>
            <w:rPr>
              <w:rFonts w:asciiTheme="minorHAnsi" w:eastAsiaTheme="minorEastAsia" w:hAnsiTheme="minorHAnsi" w:cstheme="minorBidi"/>
              <w:noProof/>
              <w:sz w:val="22"/>
              <w:szCs w:val="22"/>
              <w:lang w:val="it-IT" w:eastAsia="it-IT"/>
            </w:rPr>
          </w:pPr>
          <w:hyperlink w:anchor="_Toc112418149" w:history="1">
            <w:r w:rsidR="00CD0B6B" w:rsidRPr="0054033C">
              <w:rPr>
                <w:rStyle w:val="-"/>
                <w:noProof/>
                <w:lang w:val="it-IT"/>
              </w:rPr>
              <w:t>2.2.1 Applicazioni per la salute digitale</w:t>
            </w:r>
            <w:r w:rsidR="00CD0B6B">
              <w:rPr>
                <w:noProof/>
                <w:webHidden/>
              </w:rPr>
              <w:tab/>
            </w:r>
            <w:r w:rsidR="00CD0B6B">
              <w:rPr>
                <w:noProof/>
                <w:webHidden/>
              </w:rPr>
              <w:fldChar w:fldCharType="begin"/>
            </w:r>
            <w:r w:rsidR="00CD0B6B">
              <w:rPr>
                <w:noProof/>
                <w:webHidden/>
              </w:rPr>
              <w:instrText xml:space="preserve"> PAGEREF _Toc112418149 \h </w:instrText>
            </w:r>
            <w:r w:rsidR="00CD0B6B">
              <w:rPr>
                <w:noProof/>
                <w:webHidden/>
              </w:rPr>
            </w:r>
            <w:r w:rsidR="00CD0B6B">
              <w:rPr>
                <w:noProof/>
                <w:webHidden/>
              </w:rPr>
              <w:fldChar w:fldCharType="separate"/>
            </w:r>
            <w:r w:rsidR="00FF3B4D">
              <w:rPr>
                <w:noProof/>
                <w:webHidden/>
              </w:rPr>
              <w:t>11</w:t>
            </w:r>
            <w:r w:rsidR="00CD0B6B">
              <w:rPr>
                <w:noProof/>
                <w:webHidden/>
              </w:rPr>
              <w:fldChar w:fldCharType="end"/>
            </w:r>
          </w:hyperlink>
        </w:p>
        <w:p w14:paraId="781973A4" w14:textId="7F245A29" w:rsidR="00CD0B6B" w:rsidRDefault="00000000">
          <w:pPr>
            <w:pStyle w:val="20"/>
            <w:tabs>
              <w:tab w:val="right" w:pos="9062"/>
            </w:tabs>
            <w:rPr>
              <w:rFonts w:asciiTheme="minorHAnsi" w:eastAsiaTheme="minorEastAsia" w:hAnsiTheme="minorHAnsi" w:cstheme="minorBidi"/>
              <w:noProof/>
              <w:sz w:val="22"/>
              <w:szCs w:val="22"/>
              <w:lang w:val="it-IT" w:eastAsia="it-IT"/>
            </w:rPr>
          </w:pPr>
          <w:hyperlink w:anchor="_Toc112418150" w:history="1">
            <w:r w:rsidR="00CD0B6B" w:rsidRPr="0054033C">
              <w:rPr>
                <w:rStyle w:val="-"/>
                <w:noProof/>
                <w:lang w:val="it-IT"/>
              </w:rPr>
              <w:t>3. Esercizio Pratico 5.4 Soluzioni -Itala-</w:t>
            </w:r>
            <w:r w:rsidR="00CD0B6B">
              <w:rPr>
                <w:noProof/>
                <w:webHidden/>
              </w:rPr>
              <w:tab/>
            </w:r>
            <w:r w:rsidR="00CD0B6B">
              <w:rPr>
                <w:noProof/>
                <w:webHidden/>
              </w:rPr>
              <w:fldChar w:fldCharType="begin"/>
            </w:r>
            <w:r w:rsidR="00CD0B6B">
              <w:rPr>
                <w:noProof/>
                <w:webHidden/>
              </w:rPr>
              <w:instrText xml:space="preserve"> PAGEREF _Toc112418150 \h </w:instrText>
            </w:r>
            <w:r w:rsidR="00CD0B6B">
              <w:rPr>
                <w:noProof/>
                <w:webHidden/>
              </w:rPr>
            </w:r>
            <w:r w:rsidR="00CD0B6B">
              <w:rPr>
                <w:noProof/>
                <w:webHidden/>
              </w:rPr>
              <w:fldChar w:fldCharType="separate"/>
            </w:r>
            <w:r w:rsidR="00FF3B4D">
              <w:rPr>
                <w:noProof/>
                <w:webHidden/>
              </w:rPr>
              <w:t>12</w:t>
            </w:r>
            <w:r w:rsidR="00CD0B6B">
              <w:rPr>
                <w:noProof/>
                <w:webHidden/>
              </w:rPr>
              <w:fldChar w:fldCharType="end"/>
            </w:r>
          </w:hyperlink>
        </w:p>
        <w:p w14:paraId="6A1E95CC" w14:textId="695B921B" w:rsidR="009842E7" w:rsidRPr="008F1D37" w:rsidRDefault="000512B4">
          <w:pPr>
            <w:rPr>
              <w:noProof/>
              <w:lang w:val="it-IT"/>
            </w:rPr>
          </w:pPr>
          <w:r w:rsidRPr="008F1D37">
            <w:rPr>
              <w:noProof/>
              <w:lang w:val="it-IT"/>
            </w:rPr>
            <w:fldChar w:fldCharType="end"/>
          </w:r>
        </w:p>
      </w:sdtContent>
    </w:sdt>
    <w:p w14:paraId="6A1E95CD" w14:textId="77777777" w:rsidR="009842E7" w:rsidRPr="008F1D37" w:rsidRDefault="000512B4">
      <w:pPr>
        <w:rPr>
          <w:noProof/>
          <w:lang w:val="it-IT"/>
        </w:rPr>
      </w:pPr>
      <w:r w:rsidRPr="008F1D37">
        <w:rPr>
          <w:noProof/>
          <w:lang w:val="it-IT"/>
        </w:rPr>
        <w:br w:type="page"/>
      </w:r>
    </w:p>
    <w:p w14:paraId="6E415751" w14:textId="003DFE96" w:rsidR="002A3046" w:rsidRPr="008F1D37" w:rsidRDefault="002A3046" w:rsidP="00D5292B">
      <w:pPr>
        <w:pStyle w:val="1"/>
        <w:numPr>
          <w:ilvl w:val="0"/>
          <w:numId w:val="13"/>
        </w:numPr>
        <w:rPr>
          <w:noProof/>
          <w:lang w:val="it-IT"/>
        </w:rPr>
      </w:pPr>
      <w:bookmarkStart w:id="1" w:name="_Toc112418144"/>
      <w:r w:rsidRPr="008F1D37">
        <w:rPr>
          <w:noProof/>
          <w:lang w:val="it-IT"/>
        </w:rPr>
        <w:lastRenderedPageBreak/>
        <w:t>INTRODUZIONE AL MANUALE</w:t>
      </w:r>
      <w:bookmarkEnd w:id="1"/>
    </w:p>
    <w:p w14:paraId="70DC825D" w14:textId="77777777" w:rsidR="002A3046" w:rsidRPr="008F1D37" w:rsidRDefault="002A3046" w:rsidP="002A3046">
      <w:pPr>
        <w:rPr>
          <w:noProof/>
          <w:lang w:val="it-IT"/>
        </w:rPr>
      </w:pPr>
      <w:r w:rsidRPr="008F1D37">
        <w:rPr>
          <w:noProof/>
          <w:lang w:val="it-IT"/>
        </w:rPr>
        <w:t>Il seguente manuale fa parte dell'output intellettuale 2 del progetto MIG-DHL. Questo manuale copre tutti i sei moduli:</w:t>
      </w:r>
    </w:p>
    <w:p w14:paraId="56822F75" w14:textId="01EBE2F3" w:rsidR="002A3046" w:rsidRPr="008F1D37" w:rsidRDefault="002A3046" w:rsidP="002A3046">
      <w:pPr>
        <w:rPr>
          <w:noProof/>
          <w:lang w:val="it-IT"/>
        </w:rPr>
      </w:pPr>
      <w:r w:rsidRPr="008F1D37">
        <w:rPr>
          <w:noProof/>
          <w:lang w:val="it-IT"/>
        </w:rPr>
        <w:t>1.)</w:t>
      </w:r>
      <w:r w:rsidRPr="008F1D37">
        <w:rPr>
          <w:noProof/>
          <w:lang w:val="it-IT"/>
        </w:rPr>
        <w:tab/>
        <w:t xml:space="preserve">Che cos'è la </w:t>
      </w:r>
      <w:r w:rsidRPr="008F1D37">
        <w:rPr>
          <w:i/>
          <w:noProof/>
          <w:lang w:val="it-IT"/>
        </w:rPr>
        <w:t>Digital Health Literacy</w:t>
      </w:r>
      <w:r w:rsidRPr="008F1D37">
        <w:rPr>
          <w:noProof/>
          <w:lang w:val="it-IT"/>
        </w:rPr>
        <w:t xml:space="preserve"> (alfabetizzazione sanitaria digitale)?</w:t>
      </w:r>
    </w:p>
    <w:p w14:paraId="5B637724" w14:textId="6693EF9A" w:rsidR="002A3046" w:rsidRPr="008F1D37" w:rsidRDefault="002A3046" w:rsidP="002A3046">
      <w:pPr>
        <w:rPr>
          <w:noProof/>
          <w:lang w:val="it-IT"/>
        </w:rPr>
      </w:pPr>
      <w:r w:rsidRPr="008F1D37">
        <w:rPr>
          <w:noProof/>
          <w:lang w:val="it-IT"/>
        </w:rPr>
        <w:t>2.)</w:t>
      </w:r>
      <w:r w:rsidRPr="008F1D37">
        <w:rPr>
          <w:noProof/>
          <w:lang w:val="it-IT"/>
        </w:rPr>
        <w:tab/>
        <w:t>I principali problemi di salute quando si arriva in un nuovo Paese</w:t>
      </w:r>
    </w:p>
    <w:p w14:paraId="11DE7F8A" w14:textId="0378DFD8" w:rsidR="002A3046" w:rsidRPr="008F1D37" w:rsidRDefault="002A3046" w:rsidP="002A3046">
      <w:pPr>
        <w:rPr>
          <w:noProof/>
          <w:lang w:val="it-IT"/>
        </w:rPr>
      </w:pPr>
      <w:r w:rsidRPr="008F1D37">
        <w:rPr>
          <w:noProof/>
          <w:lang w:val="it-IT"/>
        </w:rPr>
        <w:t>3.)</w:t>
      </w:r>
      <w:r w:rsidRPr="008F1D37">
        <w:rPr>
          <w:noProof/>
          <w:lang w:val="it-IT"/>
        </w:rPr>
        <w:tab/>
        <w:t>I servizi sanitari</w:t>
      </w:r>
    </w:p>
    <w:p w14:paraId="1FCF9459" w14:textId="3DD5DE5A" w:rsidR="002A3046" w:rsidRPr="008F1D37" w:rsidRDefault="002A3046" w:rsidP="002A3046">
      <w:pPr>
        <w:rPr>
          <w:noProof/>
          <w:lang w:val="it-IT"/>
        </w:rPr>
      </w:pPr>
      <w:r w:rsidRPr="008F1D37">
        <w:rPr>
          <w:noProof/>
          <w:lang w:val="it-IT"/>
        </w:rPr>
        <w:t>4.)</w:t>
      </w:r>
      <w:r w:rsidRPr="008F1D37">
        <w:rPr>
          <w:noProof/>
          <w:lang w:val="it-IT"/>
        </w:rPr>
        <w:tab/>
        <w:t>Diventare digitalmente alfabetizzati</w:t>
      </w:r>
    </w:p>
    <w:p w14:paraId="797ACB2F" w14:textId="77777777" w:rsidR="002A3046" w:rsidRPr="008F1D37" w:rsidRDefault="002A3046" w:rsidP="002A3046">
      <w:pPr>
        <w:rPr>
          <w:noProof/>
          <w:lang w:val="it-IT"/>
        </w:rPr>
      </w:pPr>
      <w:r w:rsidRPr="008F1D37">
        <w:rPr>
          <w:noProof/>
          <w:lang w:val="it-IT"/>
        </w:rPr>
        <w:t>5.)</w:t>
      </w:r>
      <w:r w:rsidRPr="008F1D37">
        <w:rPr>
          <w:noProof/>
          <w:lang w:val="it-IT"/>
        </w:rPr>
        <w:tab/>
        <w:t>Esplorare gli strumenti digitali per la salute</w:t>
      </w:r>
    </w:p>
    <w:p w14:paraId="76D1B465" w14:textId="175D180D" w:rsidR="002A3046" w:rsidRPr="008F1D37" w:rsidRDefault="002A3046" w:rsidP="002A3046">
      <w:pPr>
        <w:rPr>
          <w:noProof/>
          <w:lang w:val="it-IT"/>
        </w:rPr>
      </w:pPr>
      <w:r w:rsidRPr="008F1D37">
        <w:rPr>
          <w:noProof/>
          <w:lang w:val="it-IT"/>
        </w:rPr>
        <w:t>6.)</w:t>
      </w:r>
      <w:r w:rsidRPr="008F1D37">
        <w:rPr>
          <w:noProof/>
          <w:lang w:val="it-IT"/>
        </w:rPr>
        <w:tab/>
        <w:t>Essere attivi nell'ambiente della salute digitale</w:t>
      </w:r>
    </w:p>
    <w:p w14:paraId="4FEFB557" w14:textId="005314B8" w:rsidR="002A3046" w:rsidRPr="008F1D37" w:rsidRDefault="002A3046" w:rsidP="002A3046">
      <w:pPr>
        <w:rPr>
          <w:noProof/>
          <w:lang w:val="it-IT"/>
        </w:rPr>
      </w:pPr>
      <w:r w:rsidRPr="008F1D37">
        <w:rPr>
          <w:noProof/>
          <w:lang w:val="it-IT"/>
        </w:rPr>
        <w:t>Il manuale è rivolto in particolare ai formatori e ai partner (operatori sociali, sanitari, ecc.)</w:t>
      </w:r>
      <w:r w:rsidR="008F1D37">
        <w:rPr>
          <w:noProof/>
          <w:lang w:val="it-IT"/>
        </w:rPr>
        <w:t xml:space="preserve"> della formazione</w:t>
      </w:r>
      <w:r w:rsidRPr="008F1D37">
        <w:rPr>
          <w:noProof/>
          <w:lang w:val="it-IT"/>
        </w:rPr>
        <w:t>. L'idea è di fornire una comprensione più approfondita degli argomenti trattati nelle sessioni di formazione, in modo che il contenuto dei materiali formativi diventi più chiaro per il formatore. Inoltre, il formatore è pronto a rispondere a domande più dettagliate rispetto alle informazioni fornite nel materiale didattico. Pertanto, questo manuale fornisce conoscenze più approfondite e collegamenti a risorse aggiuntive relative ai contenuti, principalmente per i formatori, ma naturalmente anche per tutte le altre persone che vogliono saperne di più sugli argomenti.</w:t>
      </w:r>
    </w:p>
    <w:p w14:paraId="3A0CA9D7" w14:textId="77777777" w:rsidR="002A3046" w:rsidRPr="008F1D37" w:rsidRDefault="002A3046" w:rsidP="002A3046">
      <w:pPr>
        <w:rPr>
          <w:noProof/>
          <w:lang w:val="it-IT"/>
        </w:rPr>
      </w:pPr>
      <w:r w:rsidRPr="008F1D37">
        <w:rPr>
          <w:noProof/>
          <w:lang w:val="it-IT"/>
        </w:rPr>
        <w:t>La struttura del manuale è orientata alla struttura del programma di formazione. Ogni modulo ha un capitolo di circa 6-8 pagine.</w:t>
      </w:r>
    </w:p>
    <w:p w14:paraId="12DC71C7" w14:textId="0299158F" w:rsidR="002A3046" w:rsidRPr="008F1D37" w:rsidRDefault="002A3046" w:rsidP="002A3046">
      <w:pPr>
        <w:rPr>
          <w:noProof/>
          <w:lang w:val="it-IT"/>
        </w:rPr>
      </w:pPr>
      <w:r w:rsidRPr="008F1D37">
        <w:rPr>
          <w:noProof/>
          <w:lang w:val="it-IT"/>
        </w:rPr>
        <w:t xml:space="preserve">Questo particolare manuale contiene informazioni relative al </w:t>
      </w:r>
      <w:r w:rsidRPr="008F1D37">
        <w:rPr>
          <w:b/>
          <w:bCs/>
          <w:noProof/>
          <w:lang w:val="it-IT"/>
        </w:rPr>
        <w:t>Modulo 5-Esplorare gli strumenti digitali per la salute</w:t>
      </w:r>
      <w:r w:rsidRPr="008F1D37">
        <w:rPr>
          <w:noProof/>
          <w:lang w:val="it-IT"/>
        </w:rPr>
        <w:t>. Pertanto qui troverete le informazioni teoriche necessarie per supportare i contenuti e le attività del DPTA_5.</w:t>
      </w:r>
    </w:p>
    <w:p w14:paraId="007A1603" w14:textId="45DCB769" w:rsidR="002A3046" w:rsidRPr="008F1D37" w:rsidRDefault="002A3046" w:rsidP="002A3046">
      <w:pPr>
        <w:rPr>
          <w:noProof/>
          <w:lang w:val="it-IT"/>
        </w:rPr>
      </w:pPr>
      <w:r w:rsidRPr="008F1D37">
        <w:rPr>
          <w:noProof/>
          <w:lang w:val="it-IT"/>
        </w:rPr>
        <w:t xml:space="preserve">Il Modulo 5 ha un carattere eminentemente pratico, in cui i tirocinanti metteranno in pratica le diverse competenze acquisite nei Moduli da 1 a 4. Pertanto i tirocinanti navigheranno nel sistema sanitario nazionale attraverso i diversi strumenti online presentati. I contenuti di questo manuale si basano sulla presentazione dei diversi strumenti digitali (siti web, app) nelle </w:t>
      </w:r>
      <w:r w:rsidRPr="008F1D37">
        <w:rPr>
          <w:noProof/>
          <w:lang w:val="it-IT"/>
        </w:rPr>
        <w:lastRenderedPageBreak/>
        <w:t xml:space="preserve">loro funzionalità più rilevanti, nonché sui risultati attesi degli esercizi che saranno sviluppati nel modulo 5. </w:t>
      </w:r>
    </w:p>
    <w:p w14:paraId="20AA5FD4" w14:textId="77777777" w:rsidR="00DC6C98" w:rsidRDefault="002A3046" w:rsidP="002A3046">
      <w:pPr>
        <w:rPr>
          <w:noProof/>
          <w:lang w:val="it-IT"/>
        </w:rPr>
      </w:pPr>
      <w:r w:rsidRPr="008F1D37">
        <w:rPr>
          <w:noProof/>
          <w:lang w:val="it-IT"/>
        </w:rPr>
        <w:t xml:space="preserve">In primo luogo vengono presentati i siti web e le app istituzionali, ossia quei siti e quelle app sviluppati dalle autorità pubbliche che sono necessari per la gestione della salute stessa e che contengono diversi tipi di informazioni sulla salute. La selezione dei siti web e delle app si basa sui diversi livelli amministrativi in cui è suddiviso il Paese. </w:t>
      </w:r>
    </w:p>
    <w:p w14:paraId="66AB33A0" w14:textId="5DBFC30B" w:rsidR="002A3046" w:rsidRPr="008F1D37" w:rsidRDefault="002A3046" w:rsidP="002A3046">
      <w:pPr>
        <w:rPr>
          <w:noProof/>
          <w:lang w:val="it-IT"/>
        </w:rPr>
      </w:pPr>
      <w:r w:rsidRPr="008F1D37">
        <w:rPr>
          <w:noProof/>
          <w:lang w:val="it-IT"/>
        </w:rPr>
        <w:t xml:space="preserve">Ad esempio, nel caso della Spagna: il sito web del Ministero della Salute a livello nazionale, il sito web del Ministero della Salute regionale a livello regionale e l'app per i processi sanitari a livello regionale, e i siti web interessanti a livello locale. In questo caso, ho scelto la città di Valencia perché è quella in cui si svolgerà la validazione. È stato incluso anche il sito web dell'OMS, con informazioni sanitarie rilevanti (questo sito dovrebbe essere presente nella versione del Modulo 5 di tutti i Paesi). Pertanto, in primo luogo, vengono presentati i siti web più rilevanti gestiti da autorità pubbliche autorizzate. </w:t>
      </w:r>
    </w:p>
    <w:p w14:paraId="50E8665B" w14:textId="3508174A" w:rsidR="002A3046" w:rsidRPr="008F1D37" w:rsidRDefault="002A3046" w:rsidP="002A3046">
      <w:pPr>
        <w:rPr>
          <w:noProof/>
          <w:lang w:val="it-IT"/>
        </w:rPr>
      </w:pPr>
      <w:r w:rsidRPr="008F1D37">
        <w:rPr>
          <w:noProof/>
          <w:lang w:val="it-IT"/>
        </w:rPr>
        <w:t>In secondo luogo, sono inclusi siti web affidabili, in alcuni casi direttamente collegati o raccomandati dalle autorità pubbliche. Tuttavia, non si tratta di siti web/app istituzionali, né di siti sviluppati da autorità pubbliche. Si tratta di siti web e app che non sono pubblici</w:t>
      </w:r>
      <w:r w:rsidR="00D5292B" w:rsidRPr="008F1D37">
        <w:rPr>
          <w:noProof/>
          <w:lang w:val="it-IT"/>
        </w:rPr>
        <w:t>,</w:t>
      </w:r>
      <w:r w:rsidRPr="008F1D37">
        <w:rPr>
          <w:noProof/>
          <w:lang w:val="it-IT"/>
        </w:rPr>
        <w:t xml:space="preserve"> ma che forniscono informazioni rilevanti e specializzate su determinati argomenti che, in un certo senso, integrano le informazioni che possono essere fornite dalle autorità pubbliche (esempi forniti nelle slide del modulo 5).</w:t>
      </w:r>
    </w:p>
    <w:p w14:paraId="7EAB7F35" w14:textId="77777777" w:rsidR="002A3046" w:rsidRPr="008F1D37" w:rsidRDefault="002A3046" w:rsidP="002A3046">
      <w:pPr>
        <w:rPr>
          <w:noProof/>
          <w:lang w:val="it-IT"/>
        </w:rPr>
      </w:pPr>
      <w:r w:rsidRPr="008F1D37">
        <w:rPr>
          <w:noProof/>
          <w:lang w:val="it-IT"/>
        </w:rPr>
        <w:t xml:space="preserve">Di seguito è riportata una versione abbreviata e schematica delle diverse versioni nazionali dei Paesi che compongono il consorzio MIG-DHL: Spagna, Germania, Italia e Grecia. </w:t>
      </w:r>
    </w:p>
    <w:p w14:paraId="6A1E95DD" w14:textId="432B11E5" w:rsidR="009842E7" w:rsidRDefault="002A3046" w:rsidP="002A3046">
      <w:pPr>
        <w:rPr>
          <w:noProof/>
          <w:lang w:val="it-IT"/>
        </w:rPr>
      </w:pPr>
      <w:r w:rsidRPr="008F1D37">
        <w:rPr>
          <w:noProof/>
          <w:lang w:val="it-IT"/>
        </w:rPr>
        <w:t>Le versioni che saranno tradotte in spagnolo, tedesco, italiano e inglese saranno più elaborate e forniranno informazioni rilevanti per i formatori al fine di implementare la formazione. La versione inglese viene fornita per fornire una logica e un esempio ai formatori di Paesi esterni al consorzio che sono interessati a questo programma e vogliono replicarlo con strumenti online specifici per il loro Paese.</w:t>
      </w:r>
    </w:p>
    <w:p w14:paraId="6A1E95DE" w14:textId="61011115" w:rsidR="009842E7" w:rsidRPr="008F1D37" w:rsidRDefault="00DC6C98">
      <w:pPr>
        <w:rPr>
          <w:noProof/>
          <w:lang w:val="it-IT"/>
        </w:rPr>
      </w:pPr>
      <w:r>
        <w:rPr>
          <w:noProof/>
          <w:lang w:val="it-IT"/>
        </w:rPr>
        <w:lastRenderedPageBreak/>
        <w:t>Nel seguente paragrafo, nella traduzione italiana del manuale, vengono introdotti i soli strumenti riguardanti la sanità digitale in Italia.</w:t>
      </w:r>
    </w:p>
    <w:p w14:paraId="6A1E963D" w14:textId="08B914BA" w:rsidR="009842E7" w:rsidRPr="008F1D37" w:rsidRDefault="00D5292B" w:rsidP="00D5292B">
      <w:pPr>
        <w:pStyle w:val="1"/>
        <w:numPr>
          <w:ilvl w:val="0"/>
          <w:numId w:val="13"/>
        </w:numPr>
        <w:rPr>
          <w:noProof/>
          <w:lang w:val="it-IT"/>
        </w:rPr>
      </w:pPr>
      <w:bookmarkStart w:id="2" w:name="_Toc112418145"/>
      <w:r w:rsidRPr="008F1D37">
        <w:rPr>
          <w:noProof/>
          <w:lang w:val="it-IT"/>
        </w:rPr>
        <w:t>I PRINCIPALI STRUMENTI PER LA SANITÀ DIGITALE IN ITALIA</w:t>
      </w:r>
      <w:bookmarkEnd w:id="2"/>
    </w:p>
    <w:p w14:paraId="350A809C" w14:textId="18928E41" w:rsidR="00D5292B" w:rsidRPr="008F1D37" w:rsidRDefault="008F1D37" w:rsidP="00D5292B">
      <w:pPr>
        <w:rPr>
          <w:noProof/>
          <w:lang w:val="it-IT"/>
        </w:rPr>
      </w:pPr>
      <w:r w:rsidRPr="008F1D37">
        <w:rPr>
          <w:noProof/>
          <w:lang w:val="it-IT"/>
        </w:rPr>
        <w:t>In q</w:t>
      </w:r>
      <w:r w:rsidR="00D5292B" w:rsidRPr="008F1D37">
        <w:rPr>
          <w:noProof/>
          <w:lang w:val="it-IT"/>
        </w:rPr>
        <w:t xml:space="preserve">uesta sezione </w:t>
      </w:r>
      <w:r w:rsidRPr="008F1D37">
        <w:rPr>
          <w:noProof/>
          <w:lang w:val="it-IT"/>
        </w:rPr>
        <w:t xml:space="preserve">vengono </w:t>
      </w:r>
      <w:r w:rsidR="00D5292B" w:rsidRPr="008F1D37">
        <w:rPr>
          <w:noProof/>
          <w:lang w:val="it-IT"/>
        </w:rPr>
        <w:t>presenta</w:t>
      </w:r>
      <w:r w:rsidRPr="008F1D37">
        <w:rPr>
          <w:noProof/>
          <w:lang w:val="it-IT"/>
        </w:rPr>
        <w:t>ti</w:t>
      </w:r>
      <w:r w:rsidR="00D5292B" w:rsidRPr="008F1D37">
        <w:rPr>
          <w:noProof/>
          <w:lang w:val="it-IT"/>
        </w:rPr>
        <w:t xml:space="preserve"> i principali siti web e applicazioni che permettono di conoscere e utilizzare i servizi di sanità pubblica in Italia.</w:t>
      </w:r>
    </w:p>
    <w:p w14:paraId="6EF4B8EF" w14:textId="6BD22287" w:rsidR="00D5292B" w:rsidRPr="008F1D37" w:rsidRDefault="00D5292B" w:rsidP="00D5292B">
      <w:pPr>
        <w:rPr>
          <w:noProof/>
          <w:lang w:val="it-IT"/>
        </w:rPr>
      </w:pPr>
      <w:r w:rsidRPr="008F1D37">
        <w:rPr>
          <w:noProof/>
          <w:lang w:val="it-IT"/>
        </w:rPr>
        <w:t xml:space="preserve">Per comprendere meglio i contenuti degli strumenti presentati, ricordiamo una breve descrizione del Sistema Sanitario Nazionale </w:t>
      </w:r>
      <w:r w:rsidR="008F1D37" w:rsidRPr="008F1D37">
        <w:rPr>
          <w:noProof/>
          <w:lang w:val="it-IT"/>
        </w:rPr>
        <w:t xml:space="preserve">italiano </w:t>
      </w:r>
      <w:r w:rsidRPr="008F1D37">
        <w:rPr>
          <w:noProof/>
          <w:lang w:val="it-IT"/>
        </w:rPr>
        <w:t>(SSN), che definisce, a livello centrale, gli interventi sanitari e le linee guida mirate a garantire tutti i servizi sanitari.</w:t>
      </w:r>
    </w:p>
    <w:p w14:paraId="3D67A7FA" w14:textId="77777777" w:rsidR="00D5292B" w:rsidRPr="008F1D37" w:rsidRDefault="00D5292B" w:rsidP="00D5292B">
      <w:pPr>
        <w:rPr>
          <w:noProof/>
          <w:lang w:val="it-IT"/>
        </w:rPr>
      </w:pPr>
      <w:r w:rsidRPr="008F1D37">
        <w:rPr>
          <w:noProof/>
          <w:lang w:val="it-IT"/>
        </w:rPr>
        <w:t xml:space="preserve">Il Sistema Sanitario Nazionale è suddiviso in diversi livelli di responsabilità e di governance. A livello centrale lo Stato ha la responsabilità di garantire a tutti i cittadini il diritto alla tutela della salute, attraverso la definizione dei Livelli Essenziali di Assistenza (LEA). A livello regionale, le Regioni italiane hanno la responsabilità diretta dell'attuazione della governance per il raggiungimento degli obiettivi di salute del Paese. </w:t>
      </w:r>
    </w:p>
    <w:p w14:paraId="4CA4051A" w14:textId="77777777" w:rsidR="00D5292B" w:rsidRPr="008F1D37" w:rsidRDefault="00D5292B" w:rsidP="00D5292B">
      <w:pPr>
        <w:rPr>
          <w:noProof/>
          <w:lang w:val="it-IT"/>
        </w:rPr>
      </w:pPr>
      <w:r w:rsidRPr="008F1D37">
        <w:rPr>
          <w:noProof/>
          <w:lang w:val="it-IT"/>
        </w:rPr>
        <w:t>Le Regioni hanno competenza esclusiva nella regolamentazione e nell'organizzazione dei servizi e delle attività attraverso le Aziende Sanitarie Locali (ASL).</w:t>
      </w:r>
    </w:p>
    <w:p w14:paraId="4B6483C5" w14:textId="77777777" w:rsidR="00D5292B" w:rsidRPr="008F1D37" w:rsidRDefault="00D5292B" w:rsidP="00D5292B">
      <w:pPr>
        <w:rPr>
          <w:noProof/>
          <w:lang w:val="it-IT"/>
        </w:rPr>
      </w:pPr>
      <w:r w:rsidRPr="008F1D37">
        <w:rPr>
          <w:noProof/>
          <w:lang w:val="it-IT"/>
        </w:rPr>
        <w:t xml:space="preserve">Le Asl sono il primo livello, attraverso il quale il singolo individuo, le famiglie e la comunità possono accedere al SSN. </w:t>
      </w:r>
    </w:p>
    <w:p w14:paraId="6A2007C9" w14:textId="77777777" w:rsidR="00D5292B" w:rsidRPr="008F1D37" w:rsidRDefault="00D5292B" w:rsidP="00D5292B">
      <w:pPr>
        <w:rPr>
          <w:noProof/>
          <w:lang w:val="it-IT"/>
        </w:rPr>
      </w:pPr>
      <w:r w:rsidRPr="008F1D37">
        <w:rPr>
          <w:noProof/>
          <w:lang w:val="it-IT"/>
        </w:rPr>
        <w:t>In questo manuale, gli strumenti web saranno presentati in ordine dal livello nazionale a quello regionale.</w:t>
      </w:r>
    </w:p>
    <w:p w14:paraId="69D7A772" w14:textId="13601B5C" w:rsidR="00D5292B" w:rsidRPr="008F1D37" w:rsidRDefault="00D5292B" w:rsidP="00D5292B">
      <w:pPr>
        <w:rPr>
          <w:noProof/>
          <w:lang w:val="it-IT"/>
        </w:rPr>
      </w:pPr>
      <w:r w:rsidRPr="008F1D37">
        <w:rPr>
          <w:noProof/>
          <w:lang w:val="it-IT"/>
        </w:rPr>
        <w:t>In particolare, per quanto riguarda l'ambito regionale descritto, si fa riferimento alla regione Toscana, area in cui il progetto è principalmente implementato nella sua parte italiana.</w:t>
      </w:r>
    </w:p>
    <w:p w14:paraId="113FC32B" w14:textId="59939874" w:rsidR="00D5292B" w:rsidRPr="008F1D37" w:rsidRDefault="008F1D37" w:rsidP="00D5292B">
      <w:pPr>
        <w:rPr>
          <w:noProof/>
          <w:lang w:val="it-IT"/>
        </w:rPr>
      </w:pPr>
      <w:r w:rsidRPr="008F1D37">
        <w:rPr>
          <w:noProof/>
          <w:lang w:val="it-IT"/>
        </w:rPr>
        <w:t>Riportiamo infine</w:t>
      </w:r>
      <w:r w:rsidR="00DC6C98">
        <w:rPr>
          <w:noProof/>
          <w:lang w:val="it-IT"/>
        </w:rPr>
        <w:t xml:space="preserve"> la specifica relativa a come</w:t>
      </w:r>
      <w:r w:rsidR="00D5292B" w:rsidRPr="008F1D37">
        <w:rPr>
          <w:noProof/>
          <w:lang w:val="it-IT"/>
        </w:rPr>
        <w:t xml:space="preserve"> gli strumenti digitali per l'accesso ai servizi sanitari possano variare </w:t>
      </w:r>
      <w:r w:rsidR="00DC6C98">
        <w:rPr>
          <w:noProof/>
          <w:lang w:val="it-IT"/>
        </w:rPr>
        <w:t xml:space="preserve">a livello locale </w:t>
      </w:r>
      <w:r w:rsidR="00D5292B" w:rsidRPr="008F1D37">
        <w:rPr>
          <w:noProof/>
          <w:lang w:val="it-IT"/>
        </w:rPr>
        <w:t>a seconda dell'investimento digitale effettuato dalle Regioni.</w:t>
      </w:r>
    </w:p>
    <w:p w14:paraId="562EFAAC" w14:textId="77777777" w:rsidR="00D5292B" w:rsidRPr="008F1D37" w:rsidRDefault="00D5292B" w:rsidP="00D5292B">
      <w:pPr>
        <w:rPr>
          <w:noProof/>
          <w:lang w:val="it-IT"/>
        </w:rPr>
      </w:pPr>
      <w:r w:rsidRPr="008F1D37">
        <w:rPr>
          <w:noProof/>
          <w:lang w:val="it-IT"/>
        </w:rPr>
        <w:t xml:space="preserve">Questo si può notare, ad esempio, nel caso del Fascicolo Sanitario Elettronico (FSE), che può essere considerato il principale strumento sanitario digitale per l'utente del SSN. Il FSE è una </w:t>
      </w:r>
      <w:r w:rsidRPr="008F1D37">
        <w:rPr>
          <w:noProof/>
          <w:lang w:val="it-IT"/>
        </w:rPr>
        <w:lastRenderedPageBreak/>
        <w:t>raccolta online di dati e informazioni mediche che costituiscono la storia clinica di una persona.</w:t>
      </w:r>
    </w:p>
    <w:p w14:paraId="63537F36" w14:textId="77777777" w:rsidR="00D5292B" w:rsidRPr="008F1D37" w:rsidRDefault="00D5292B" w:rsidP="00D5292B">
      <w:pPr>
        <w:rPr>
          <w:noProof/>
          <w:lang w:val="it-IT"/>
        </w:rPr>
      </w:pPr>
      <w:r w:rsidRPr="008F1D37">
        <w:rPr>
          <w:noProof/>
          <w:lang w:val="it-IT"/>
        </w:rPr>
        <w:t>Attraverso questo strumento è possibile gestire meglio i propri dati clinici e ottenere una comunicazione e un'organizzazione di qualità tra medico e paziente.</w:t>
      </w:r>
    </w:p>
    <w:p w14:paraId="3F5CD459" w14:textId="15441595" w:rsidR="00D5292B" w:rsidRPr="008F1D37" w:rsidRDefault="00D5292B" w:rsidP="00D5292B">
      <w:pPr>
        <w:rPr>
          <w:noProof/>
          <w:lang w:val="it-IT"/>
        </w:rPr>
      </w:pPr>
      <w:r w:rsidRPr="008F1D37">
        <w:rPr>
          <w:noProof/>
          <w:lang w:val="it-IT"/>
        </w:rPr>
        <w:t>I documenti in esso contenuti sono costantemente aggiornati con i dati e i documenti emessi dal Servizio Sanitario Regionale; per questo motivo, l'interfaccia e le modalità di accesso al FSE variano da regione a regione, anche se i servizi offerti hanno molti punti in comune.</w:t>
      </w:r>
    </w:p>
    <w:p w14:paraId="6A1E9649" w14:textId="08864BD3" w:rsidR="009842E7" w:rsidRPr="008F1D37" w:rsidRDefault="00D5292B" w:rsidP="00D5292B">
      <w:pPr>
        <w:pStyle w:val="2"/>
        <w:spacing w:after="240"/>
        <w:jc w:val="center"/>
        <w:rPr>
          <w:noProof/>
          <w:u w:val="single"/>
          <w:lang w:val="it-IT"/>
        </w:rPr>
      </w:pPr>
      <w:bookmarkStart w:id="3" w:name="_Toc112418146"/>
      <w:r w:rsidRPr="008F1D37">
        <w:rPr>
          <w:noProof/>
          <w:u w:val="single"/>
          <w:lang w:val="it-IT"/>
        </w:rPr>
        <w:t>2</w:t>
      </w:r>
      <w:r w:rsidR="000512B4" w:rsidRPr="008F1D37">
        <w:rPr>
          <w:noProof/>
          <w:u w:val="single"/>
          <w:lang w:val="it-IT"/>
        </w:rPr>
        <w:t xml:space="preserve">.1 </w:t>
      </w:r>
      <w:r w:rsidRPr="008F1D37">
        <w:rPr>
          <w:noProof/>
          <w:u w:val="single"/>
          <w:lang w:val="it-IT"/>
        </w:rPr>
        <w:t>Strumenti istituzionali online</w:t>
      </w:r>
      <w:bookmarkEnd w:id="3"/>
    </w:p>
    <w:p w14:paraId="40D50640" w14:textId="748A1355" w:rsidR="0088580E" w:rsidRDefault="00D5292B">
      <w:pPr>
        <w:pBdr>
          <w:top w:val="nil"/>
          <w:left w:val="nil"/>
          <w:bottom w:val="nil"/>
          <w:right w:val="nil"/>
          <w:between w:val="nil"/>
        </w:pBdr>
        <w:spacing w:after="0"/>
        <w:rPr>
          <w:noProof/>
          <w:color w:val="000000"/>
          <w:lang w:val="it-IT"/>
        </w:rPr>
      </w:pPr>
      <w:r w:rsidRPr="008F1D37">
        <w:rPr>
          <w:noProof/>
          <w:color w:val="000000"/>
          <w:lang w:val="it-IT"/>
        </w:rPr>
        <w:t xml:space="preserve">Di seguito presentiamo i </w:t>
      </w:r>
      <w:r w:rsidR="00492350" w:rsidRPr="008F1D37">
        <w:rPr>
          <w:noProof/>
          <w:color w:val="000000"/>
          <w:lang w:val="it-IT"/>
        </w:rPr>
        <w:t xml:space="preserve">link ai </w:t>
      </w:r>
      <w:r w:rsidRPr="008F1D37">
        <w:rPr>
          <w:noProof/>
          <w:color w:val="000000"/>
          <w:lang w:val="it-IT"/>
        </w:rPr>
        <w:t xml:space="preserve">siti web </w:t>
      </w:r>
      <w:r w:rsidR="00DC6C98">
        <w:rPr>
          <w:noProof/>
          <w:color w:val="000000"/>
          <w:lang w:val="it-IT"/>
        </w:rPr>
        <w:t>delle principali istituzioni sanitarie dello Stato italiano. Tra queste il</w:t>
      </w:r>
      <w:r w:rsidRPr="008F1D37">
        <w:rPr>
          <w:noProof/>
          <w:color w:val="000000"/>
          <w:lang w:val="it-IT"/>
        </w:rPr>
        <w:t xml:space="preserve"> Ministero della Salute,</w:t>
      </w:r>
      <w:r w:rsidR="00DC6C98">
        <w:rPr>
          <w:noProof/>
          <w:color w:val="000000"/>
          <w:lang w:val="it-IT"/>
        </w:rPr>
        <w:t xml:space="preserve"> </w:t>
      </w:r>
      <w:r w:rsidRPr="008F1D37">
        <w:rPr>
          <w:noProof/>
          <w:color w:val="000000"/>
          <w:lang w:val="it-IT"/>
        </w:rPr>
        <w:t>l’Istituto Superiore di Sanità, l’Agenzia Nazionale per i servizi sanitari Regionali e</w:t>
      </w:r>
      <w:r w:rsidR="00492350" w:rsidRPr="008F1D37">
        <w:rPr>
          <w:noProof/>
          <w:color w:val="000000"/>
          <w:lang w:val="it-IT"/>
        </w:rPr>
        <w:t xml:space="preserve"> </w:t>
      </w:r>
      <w:r w:rsidR="00CD0B6B">
        <w:rPr>
          <w:noProof/>
          <w:color w:val="000000"/>
          <w:lang w:val="it-IT"/>
        </w:rPr>
        <w:t>il sito web di</w:t>
      </w:r>
      <w:r w:rsidR="00492350" w:rsidRPr="008F1D37">
        <w:rPr>
          <w:noProof/>
          <w:color w:val="000000"/>
          <w:lang w:val="it-IT"/>
        </w:rPr>
        <w:t xml:space="preserve"> introduzione ai servizi sanitari nella Regione Toscana. In questi siti si possono trovare </w:t>
      </w:r>
      <w:r w:rsidR="0088580E">
        <w:rPr>
          <w:noProof/>
          <w:color w:val="000000"/>
          <w:lang w:val="it-IT"/>
        </w:rPr>
        <w:t xml:space="preserve">tutte </w:t>
      </w:r>
      <w:r w:rsidR="00492350" w:rsidRPr="008F1D37">
        <w:rPr>
          <w:noProof/>
          <w:color w:val="000000"/>
          <w:lang w:val="it-IT"/>
        </w:rPr>
        <w:t>le informazioni di base relativamente all’accesso ai servizi sanitari</w:t>
      </w:r>
      <w:r w:rsidR="0088580E">
        <w:rPr>
          <w:noProof/>
          <w:color w:val="000000"/>
          <w:lang w:val="it-IT"/>
        </w:rPr>
        <w:t xml:space="preserve">. </w:t>
      </w:r>
    </w:p>
    <w:p w14:paraId="6A1E964B" w14:textId="5E1E5323" w:rsidR="009842E7" w:rsidRPr="008F1D37" w:rsidRDefault="0088580E" w:rsidP="0088580E">
      <w:pPr>
        <w:pBdr>
          <w:top w:val="nil"/>
          <w:left w:val="nil"/>
          <w:bottom w:val="nil"/>
          <w:right w:val="nil"/>
          <w:between w:val="nil"/>
        </w:pBdr>
        <w:spacing w:after="0"/>
        <w:rPr>
          <w:noProof/>
          <w:color w:val="C01E24"/>
          <w:lang w:val="it-IT"/>
        </w:rPr>
      </w:pPr>
      <w:r>
        <w:rPr>
          <w:noProof/>
          <w:color w:val="000000"/>
          <w:lang w:val="it-IT"/>
        </w:rPr>
        <w:t>Per le descrizioni specifiche dei servizi offerti e dei contenuti si rimanda dunque ai seguenti link:</w:t>
      </w:r>
    </w:p>
    <w:p w14:paraId="6A1E964C" w14:textId="182E029B" w:rsidR="009842E7" w:rsidRPr="008F1D37" w:rsidRDefault="00492350">
      <w:pPr>
        <w:numPr>
          <w:ilvl w:val="1"/>
          <w:numId w:val="1"/>
        </w:numPr>
        <w:pBdr>
          <w:top w:val="nil"/>
          <w:left w:val="nil"/>
          <w:bottom w:val="nil"/>
          <w:right w:val="nil"/>
          <w:between w:val="nil"/>
        </w:pBdr>
        <w:spacing w:after="0"/>
        <w:rPr>
          <w:noProof/>
          <w:color w:val="C01E24"/>
          <w:lang w:val="it-IT"/>
        </w:rPr>
      </w:pPr>
      <w:r w:rsidRPr="008F1D37">
        <w:rPr>
          <w:noProof/>
          <w:color w:val="000000"/>
          <w:lang w:val="it-IT"/>
        </w:rPr>
        <w:t>Ministero della Salute italiano</w:t>
      </w:r>
      <w:r w:rsidR="000512B4" w:rsidRPr="008F1D37">
        <w:rPr>
          <w:noProof/>
          <w:color w:val="000000"/>
          <w:lang w:val="it-IT"/>
        </w:rPr>
        <w:t xml:space="preserve">: </w:t>
      </w:r>
      <w:hyperlink r:id="rId21">
        <w:r w:rsidR="000512B4" w:rsidRPr="008F1D37">
          <w:rPr>
            <w:noProof/>
            <w:color w:val="0563C1"/>
            <w:u w:val="single"/>
            <w:lang w:val="it-IT"/>
          </w:rPr>
          <w:t>Ministero della Salute</w:t>
        </w:r>
      </w:hyperlink>
      <w:r w:rsidR="000512B4" w:rsidRPr="008F1D37">
        <w:rPr>
          <w:noProof/>
          <w:color w:val="000000"/>
          <w:lang w:val="it-IT"/>
        </w:rPr>
        <w:t> </w:t>
      </w:r>
    </w:p>
    <w:p w14:paraId="6A1E964D" w14:textId="748468E0" w:rsidR="009842E7" w:rsidRPr="008F1D37" w:rsidRDefault="000512B4">
      <w:pPr>
        <w:numPr>
          <w:ilvl w:val="1"/>
          <w:numId w:val="1"/>
        </w:numPr>
        <w:pBdr>
          <w:top w:val="nil"/>
          <w:left w:val="nil"/>
          <w:bottom w:val="nil"/>
          <w:right w:val="nil"/>
          <w:between w:val="nil"/>
        </w:pBdr>
        <w:spacing w:after="0"/>
        <w:rPr>
          <w:noProof/>
          <w:color w:val="C01E24"/>
          <w:lang w:val="it-IT"/>
        </w:rPr>
      </w:pPr>
      <w:r w:rsidRPr="008F1D37">
        <w:rPr>
          <w:noProof/>
          <w:color w:val="212529"/>
          <w:highlight w:val="white"/>
          <w:lang w:val="it-IT"/>
        </w:rPr>
        <w:t>Istituto Superiore di Sanità (ISS)</w:t>
      </w:r>
      <w:r w:rsidRPr="008F1D37">
        <w:rPr>
          <w:noProof/>
          <w:color w:val="000000"/>
          <w:lang w:val="it-IT"/>
        </w:rPr>
        <w:t xml:space="preserve">: </w:t>
      </w:r>
      <w:hyperlink r:id="rId22">
        <w:r w:rsidRPr="008F1D37">
          <w:rPr>
            <w:noProof/>
            <w:color w:val="0563C1"/>
            <w:u w:val="single"/>
            <w:lang w:val="it-IT"/>
          </w:rPr>
          <w:t>Home - ISS</w:t>
        </w:r>
      </w:hyperlink>
    </w:p>
    <w:p w14:paraId="6A1E964E" w14:textId="6B51EDEB" w:rsidR="009842E7" w:rsidRPr="008F1D37" w:rsidRDefault="00492350">
      <w:pPr>
        <w:numPr>
          <w:ilvl w:val="1"/>
          <w:numId w:val="1"/>
        </w:numPr>
        <w:pBdr>
          <w:top w:val="nil"/>
          <w:left w:val="nil"/>
          <w:bottom w:val="nil"/>
          <w:right w:val="nil"/>
          <w:between w:val="nil"/>
        </w:pBdr>
        <w:spacing w:after="0"/>
        <w:rPr>
          <w:noProof/>
          <w:color w:val="C01E24"/>
          <w:lang w:val="it-IT"/>
        </w:rPr>
      </w:pPr>
      <w:r w:rsidRPr="008F1D37">
        <w:rPr>
          <w:noProof/>
          <w:color w:val="000000"/>
          <w:lang w:val="it-IT"/>
        </w:rPr>
        <w:t>Agenzia Nazionale per i servizi sanitari Regionali</w:t>
      </w:r>
      <w:r w:rsidR="000512B4" w:rsidRPr="008F1D37">
        <w:rPr>
          <w:noProof/>
          <w:color w:val="000000"/>
          <w:lang w:val="it-IT"/>
        </w:rPr>
        <w:t xml:space="preserve">: </w:t>
      </w:r>
      <w:hyperlink r:id="rId23">
        <w:r w:rsidR="000512B4" w:rsidRPr="008F1D37">
          <w:rPr>
            <w:noProof/>
            <w:color w:val="0563C1"/>
            <w:u w:val="single"/>
            <w:lang w:val="it-IT"/>
          </w:rPr>
          <w:t>Agenas - Agenzia Nazionale per i servizi sanitari Regionali - AGENAS</w:t>
        </w:r>
      </w:hyperlink>
    </w:p>
    <w:p w14:paraId="4121487B" w14:textId="49453ECD" w:rsidR="00492350" w:rsidRPr="008F1D37" w:rsidRDefault="00492350">
      <w:pPr>
        <w:numPr>
          <w:ilvl w:val="1"/>
          <w:numId w:val="1"/>
        </w:numPr>
        <w:pBdr>
          <w:top w:val="nil"/>
          <w:left w:val="nil"/>
          <w:bottom w:val="nil"/>
          <w:right w:val="nil"/>
          <w:between w:val="nil"/>
        </w:pBdr>
        <w:spacing w:after="0"/>
        <w:rPr>
          <w:noProof/>
          <w:color w:val="C01E24"/>
          <w:lang w:val="it-IT"/>
        </w:rPr>
      </w:pPr>
      <w:r w:rsidRPr="008F1D37">
        <w:rPr>
          <w:noProof/>
          <w:lang w:val="it-IT"/>
        </w:rPr>
        <w:t xml:space="preserve">Agenzia italiana del farmaco: </w:t>
      </w:r>
      <w:hyperlink r:id="rId24" w:history="1">
        <w:r w:rsidRPr="008F1D37">
          <w:rPr>
            <w:rStyle w:val="-"/>
            <w:noProof/>
            <w:lang w:val="it-IT"/>
          </w:rPr>
          <w:t>Agenzia Italiana del Farmaco (aifa.gov.it)</w:t>
        </w:r>
      </w:hyperlink>
    </w:p>
    <w:p w14:paraId="00872009" w14:textId="01EFC921" w:rsidR="00492350" w:rsidRPr="008F1D37" w:rsidRDefault="00492350">
      <w:pPr>
        <w:numPr>
          <w:ilvl w:val="1"/>
          <w:numId w:val="1"/>
        </w:numPr>
        <w:pBdr>
          <w:top w:val="nil"/>
          <w:left w:val="nil"/>
          <w:bottom w:val="nil"/>
          <w:right w:val="nil"/>
          <w:between w:val="nil"/>
        </w:pBdr>
        <w:spacing w:after="0"/>
        <w:rPr>
          <w:noProof/>
          <w:color w:val="C01E24"/>
          <w:lang w:val="it-IT"/>
        </w:rPr>
      </w:pPr>
      <w:r w:rsidRPr="008F1D37">
        <w:rPr>
          <w:noProof/>
          <w:lang w:val="it-IT"/>
        </w:rPr>
        <w:t>Istituto Nazionale per la promozione della salute delle popolazioni Migranti e per il contrasto delle malattie della Povertà:</w:t>
      </w:r>
      <w:r w:rsidRPr="008F1D37">
        <w:rPr>
          <w:noProof/>
          <w:color w:val="C01E24"/>
          <w:lang w:val="it-IT"/>
        </w:rPr>
        <w:t xml:space="preserve"> </w:t>
      </w:r>
      <w:hyperlink r:id="rId25" w:history="1">
        <w:r w:rsidRPr="008F1D37">
          <w:rPr>
            <w:rStyle w:val="-"/>
            <w:noProof/>
            <w:lang w:val="it-IT"/>
          </w:rPr>
          <w:t>Home - inmp</w:t>
        </w:r>
      </w:hyperlink>
    </w:p>
    <w:p w14:paraId="6A1E964F" w14:textId="73E7A939" w:rsidR="009842E7" w:rsidRPr="008F1D37" w:rsidRDefault="00492350">
      <w:pPr>
        <w:numPr>
          <w:ilvl w:val="1"/>
          <w:numId w:val="1"/>
        </w:numPr>
        <w:pBdr>
          <w:top w:val="nil"/>
          <w:left w:val="nil"/>
          <w:bottom w:val="nil"/>
          <w:right w:val="nil"/>
          <w:between w:val="nil"/>
        </w:pBdr>
        <w:spacing w:after="0"/>
        <w:rPr>
          <w:noProof/>
          <w:color w:val="C01E24"/>
          <w:lang w:val="it-IT"/>
        </w:rPr>
      </w:pPr>
      <w:r w:rsidRPr="008F1D37">
        <w:rPr>
          <w:noProof/>
          <w:color w:val="000000"/>
          <w:lang w:val="it-IT"/>
        </w:rPr>
        <w:t>Servizio Sanitario Toscana</w:t>
      </w:r>
      <w:r w:rsidR="000512B4" w:rsidRPr="008F1D37">
        <w:rPr>
          <w:noProof/>
          <w:color w:val="000000"/>
          <w:lang w:val="it-IT"/>
        </w:rPr>
        <w:t xml:space="preserve">: </w:t>
      </w:r>
      <w:hyperlink r:id="rId26">
        <w:r w:rsidR="000512B4" w:rsidRPr="008F1D37">
          <w:rPr>
            <w:noProof/>
            <w:color w:val="0563C1"/>
            <w:u w:val="single"/>
            <w:lang w:val="it-IT"/>
          </w:rPr>
          <w:t>Servizio Sanitario Toscana - Regione Toscana</w:t>
        </w:r>
      </w:hyperlink>
    </w:p>
    <w:p w14:paraId="366A1155" w14:textId="77777777" w:rsidR="00423689" w:rsidRDefault="00423689" w:rsidP="0088580E">
      <w:pPr>
        <w:pBdr>
          <w:top w:val="nil"/>
          <w:left w:val="nil"/>
          <w:bottom w:val="nil"/>
          <w:right w:val="nil"/>
          <w:between w:val="nil"/>
        </w:pBdr>
        <w:spacing w:after="0"/>
        <w:rPr>
          <w:noProof/>
          <w:lang w:val="it-IT"/>
        </w:rPr>
      </w:pPr>
    </w:p>
    <w:p w14:paraId="0F0E2C99" w14:textId="79F13ACF" w:rsidR="0088580E" w:rsidRDefault="0088580E" w:rsidP="0088580E">
      <w:pPr>
        <w:pBdr>
          <w:top w:val="nil"/>
          <w:left w:val="nil"/>
          <w:bottom w:val="nil"/>
          <w:right w:val="nil"/>
          <w:between w:val="nil"/>
        </w:pBdr>
        <w:spacing w:after="0"/>
        <w:rPr>
          <w:noProof/>
          <w:lang w:val="it-IT"/>
        </w:rPr>
      </w:pPr>
      <w:r>
        <w:rPr>
          <w:noProof/>
          <w:lang w:val="it-IT"/>
        </w:rPr>
        <w:t>Come nelle altre versioni nazionali del presente manuale viene introdotto in questa sezione anche il link di riferimento al sito dell’Organizzazione Mondiale della Sanità</w:t>
      </w:r>
      <w:r w:rsidR="00423689">
        <w:rPr>
          <w:noProof/>
          <w:lang w:val="it-IT"/>
        </w:rPr>
        <w:t>:</w:t>
      </w:r>
    </w:p>
    <w:p w14:paraId="76EE913A" w14:textId="1E27C6B8" w:rsidR="00423689" w:rsidRDefault="00000000" w:rsidP="0088580E">
      <w:pPr>
        <w:pBdr>
          <w:top w:val="nil"/>
          <w:left w:val="nil"/>
          <w:bottom w:val="nil"/>
          <w:right w:val="nil"/>
          <w:between w:val="nil"/>
        </w:pBdr>
        <w:spacing w:after="0"/>
      </w:pPr>
      <w:hyperlink r:id="rId27" w:history="1">
        <w:r w:rsidR="00423689">
          <w:rPr>
            <w:rStyle w:val="-"/>
          </w:rPr>
          <w:t>WHO | World Health Organization</w:t>
        </w:r>
      </w:hyperlink>
    </w:p>
    <w:p w14:paraId="76FF3657" w14:textId="77777777" w:rsidR="00423689" w:rsidRPr="0088580E" w:rsidRDefault="00423689" w:rsidP="0088580E">
      <w:pPr>
        <w:pBdr>
          <w:top w:val="nil"/>
          <w:left w:val="nil"/>
          <w:bottom w:val="nil"/>
          <w:right w:val="nil"/>
          <w:between w:val="nil"/>
        </w:pBdr>
        <w:spacing w:after="0"/>
        <w:rPr>
          <w:noProof/>
          <w:lang w:val="it-IT"/>
        </w:rPr>
      </w:pPr>
    </w:p>
    <w:p w14:paraId="72705660" w14:textId="53D3D8DB" w:rsidR="00423689" w:rsidRDefault="00423689" w:rsidP="00423689">
      <w:pPr>
        <w:pStyle w:val="2"/>
        <w:jc w:val="center"/>
        <w:rPr>
          <w:noProof/>
          <w:lang w:val="it-IT"/>
        </w:rPr>
      </w:pPr>
      <w:bookmarkStart w:id="4" w:name="_Toc112418147"/>
      <w:r>
        <w:rPr>
          <w:noProof/>
          <w:lang w:val="it-IT"/>
        </w:rPr>
        <w:lastRenderedPageBreak/>
        <w:t>2.1.1 Linee guida per l’accesso degli stranieri al SSN</w:t>
      </w:r>
      <w:bookmarkEnd w:id="4"/>
    </w:p>
    <w:p w14:paraId="54E7FC2E" w14:textId="37D49BF8" w:rsidR="00492350" w:rsidRPr="008F1D37" w:rsidRDefault="00492350">
      <w:pPr>
        <w:pBdr>
          <w:top w:val="nil"/>
          <w:left w:val="nil"/>
          <w:bottom w:val="nil"/>
          <w:right w:val="nil"/>
          <w:between w:val="nil"/>
        </w:pBdr>
        <w:spacing w:after="0"/>
        <w:rPr>
          <w:noProof/>
          <w:lang w:val="it-IT"/>
        </w:rPr>
      </w:pPr>
      <w:r w:rsidRPr="008F1D37">
        <w:rPr>
          <w:noProof/>
          <w:lang w:val="it-IT"/>
        </w:rPr>
        <w:t>Una descrizione completa delle linee guida operative per l'accesso degli stranieri al Sistema Sanitario Nazionale è disponibile qui (in lingua italiana):</w:t>
      </w:r>
    </w:p>
    <w:p w14:paraId="6A1E9652" w14:textId="5C4B6ED6" w:rsidR="009842E7" w:rsidRPr="008F1D37" w:rsidRDefault="00000000">
      <w:pPr>
        <w:pBdr>
          <w:top w:val="nil"/>
          <w:left w:val="nil"/>
          <w:bottom w:val="nil"/>
          <w:right w:val="nil"/>
          <w:between w:val="nil"/>
        </w:pBdr>
        <w:spacing w:after="0"/>
        <w:rPr>
          <w:noProof/>
          <w:color w:val="0563C1"/>
          <w:u w:val="single"/>
          <w:lang w:val="it-IT"/>
        </w:rPr>
      </w:pPr>
      <w:hyperlink r:id="rId28">
        <w:r w:rsidR="000512B4" w:rsidRPr="008F1D37">
          <w:rPr>
            <w:noProof/>
            <w:color w:val="0563C1"/>
            <w:u w:val="single"/>
            <w:lang w:val="it-IT"/>
          </w:rPr>
          <w:t>L'accesso alle cure della persona straniera: indicazioni operative, seconda edizione (salute.gov.it)</w:t>
        </w:r>
      </w:hyperlink>
      <w:r w:rsidR="000512B4" w:rsidRPr="008F1D37">
        <w:rPr>
          <w:noProof/>
          <w:color w:val="0563C1"/>
          <w:u w:val="single"/>
          <w:lang w:val="it-IT"/>
        </w:rPr>
        <w:t>.</w:t>
      </w:r>
    </w:p>
    <w:p w14:paraId="3AD50570" w14:textId="77777777" w:rsidR="00492350" w:rsidRPr="008F1D37" w:rsidRDefault="00492350" w:rsidP="00492350">
      <w:pPr>
        <w:pBdr>
          <w:top w:val="nil"/>
          <w:left w:val="nil"/>
          <w:bottom w:val="nil"/>
          <w:right w:val="nil"/>
          <w:between w:val="nil"/>
        </w:pBdr>
        <w:spacing w:after="0"/>
        <w:rPr>
          <w:noProof/>
          <w:lang w:val="it-IT"/>
        </w:rPr>
      </w:pPr>
      <w:r w:rsidRPr="008F1D37">
        <w:rPr>
          <w:noProof/>
          <w:lang w:val="it-IT"/>
        </w:rPr>
        <w:t xml:space="preserve">La guida, pubblicata dal Ministero della Salute e costantemente aggiornata, nasce dall'esigenza di fornire una risposta alle richieste di informazioni sugli aspetti amministrativi e giuridici dell'accesso alle cure per gli stranieri, pervenute al Servizio di Consulenza dell'Istituto Superiore di Sanità (ISS), da parte di operatori sanitari e sociali, mediatori linguistico-culturali, volontari, impegnati nella tutela dei diritti dei migranti, nonché di molte persone straniere che si sono trovate in difficoltà nell'accesso ai servizi sanitari e sociali pubblici italiani. </w:t>
      </w:r>
    </w:p>
    <w:p w14:paraId="7ECA00B7" w14:textId="77777777" w:rsidR="00492350" w:rsidRPr="008F1D37" w:rsidRDefault="00492350" w:rsidP="00492350">
      <w:pPr>
        <w:pBdr>
          <w:top w:val="nil"/>
          <w:left w:val="nil"/>
          <w:bottom w:val="nil"/>
          <w:right w:val="nil"/>
          <w:between w:val="nil"/>
        </w:pBdr>
        <w:spacing w:after="0"/>
        <w:rPr>
          <w:noProof/>
          <w:lang w:val="it-IT"/>
        </w:rPr>
      </w:pPr>
      <w:r w:rsidRPr="008F1D37">
        <w:rPr>
          <w:noProof/>
          <w:lang w:val="it-IT"/>
        </w:rPr>
        <w:t>Un'altra guida sull'accesso al Servizio sanitario nazionale per i cittadini extracomunitari, con particolare attenzione alla salute delle donne, è disponibile al seguente link (in lingua italiana):</w:t>
      </w:r>
    </w:p>
    <w:p w14:paraId="6A1E9655" w14:textId="08D21706" w:rsidR="009842E7" w:rsidRPr="008F1D37" w:rsidRDefault="00000000" w:rsidP="00492350">
      <w:pPr>
        <w:pBdr>
          <w:top w:val="nil"/>
          <w:left w:val="nil"/>
          <w:bottom w:val="nil"/>
          <w:right w:val="nil"/>
          <w:between w:val="nil"/>
        </w:pBdr>
        <w:spacing w:after="0"/>
        <w:rPr>
          <w:noProof/>
          <w:color w:val="000000"/>
          <w:lang w:val="it-IT"/>
        </w:rPr>
      </w:pPr>
      <w:hyperlink r:id="rId29">
        <w:r w:rsidR="000512B4" w:rsidRPr="008F1D37">
          <w:rPr>
            <w:rFonts w:ascii="Times New Roman" w:eastAsia="Times New Roman" w:hAnsi="Times New Roman" w:cs="Times New Roman"/>
            <w:noProof/>
            <w:color w:val="0563C1"/>
            <w:u w:val="single"/>
            <w:lang w:val="it-IT"/>
          </w:rPr>
          <w:t>untitled (bussolasanita.it)</w:t>
        </w:r>
      </w:hyperlink>
    </w:p>
    <w:p w14:paraId="6A1E9657" w14:textId="230144CC" w:rsidR="009842E7" w:rsidRPr="008F1D37" w:rsidRDefault="00423689">
      <w:pPr>
        <w:pStyle w:val="2"/>
        <w:spacing w:after="240"/>
        <w:jc w:val="center"/>
        <w:rPr>
          <w:noProof/>
          <w:u w:val="single"/>
          <w:lang w:val="it-IT"/>
        </w:rPr>
      </w:pPr>
      <w:bookmarkStart w:id="5" w:name="_Toc112418148"/>
      <w:r>
        <w:rPr>
          <w:noProof/>
          <w:u w:val="single"/>
          <w:lang w:val="it-IT"/>
        </w:rPr>
        <w:t>2</w:t>
      </w:r>
      <w:r w:rsidR="000512B4" w:rsidRPr="008F1D37">
        <w:rPr>
          <w:noProof/>
          <w:u w:val="single"/>
          <w:lang w:val="it-IT"/>
        </w:rPr>
        <w:t xml:space="preserve">.2 </w:t>
      </w:r>
      <w:r w:rsidR="00492350" w:rsidRPr="008F1D37">
        <w:rPr>
          <w:noProof/>
          <w:u w:val="single"/>
          <w:lang w:val="it-IT"/>
        </w:rPr>
        <w:t>Strumenti non istituzionali online</w:t>
      </w:r>
      <w:bookmarkEnd w:id="5"/>
    </w:p>
    <w:p w14:paraId="1DA7B5BC" w14:textId="77777777" w:rsidR="00492350" w:rsidRPr="008F1D37" w:rsidRDefault="00492350" w:rsidP="00492350">
      <w:pPr>
        <w:pBdr>
          <w:top w:val="nil"/>
          <w:left w:val="nil"/>
          <w:bottom w:val="nil"/>
          <w:right w:val="nil"/>
          <w:between w:val="nil"/>
        </w:pBdr>
        <w:rPr>
          <w:noProof/>
          <w:color w:val="000000"/>
          <w:lang w:val="it-IT"/>
        </w:rPr>
      </w:pPr>
      <w:r w:rsidRPr="008F1D37">
        <w:rPr>
          <w:noProof/>
          <w:color w:val="000000"/>
          <w:lang w:val="it-IT"/>
        </w:rPr>
        <w:t>Di seguito sono riportati i riferimenti ai siti web o agli strumenti digitali di una serie di progetti che rivolgono i loro contenuti principalmente agli stranieri in Italia, al fine di facilitare il loro accesso ai servizi sanitari e/o la loro cura per specifici problemi di salute.</w:t>
      </w:r>
    </w:p>
    <w:p w14:paraId="5BF11A03" w14:textId="6F28DF82" w:rsidR="00492350" w:rsidRDefault="00492350" w:rsidP="00492350">
      <w:pPr>
        <w:pBdr>
          <w:top w:val="nil"/>
          <w:left w:val="nil"/>
          <w:bottom w:val="nil"/>
          <w:right w:val="nil"/>
          <w:between w:val="nil"/>
        </w:pBdr>
        <w:rPr>
          <w:noProof/>
          <w:color w:val="000000"/>
          <w:lang w:val="it-IT"/>
        </w:rPr>
      </w:pPr>
      <w:r w:rsidRPr="008F1D37">
        <w:rPr>
          <w:noProof/>
          <w:color w:val="000000"/>
          <w:lang w:val="it-IT"/>
        </w:rPr>
        <w:t xml:space="preserve">Un focus specifico è </w:t>
      </w:r>
      <w:r w:rsidR="00CD0B6B">
        <w:rPr>
          <w:noProof/>
          <w:color w:val="000000"/>
          <w:lang w:val="it-IT"/>
        </w:rPr>
        <w:t xml:space="preserve">posto </w:t>
      </w:r>
      <w:r w:rsidRPr="008F1D37">
        <w:rPr>
          <w:noProof/>
          <w:color w:val="000000"/>
          <w:lang w:val="it-IT"/>
        </w:rPr>
        <w:t>sui progetti che si occupano dell'assistenza e del supporto ai richiedenti asilo, ai titolari di protezione internazionale e ai rifugiati in Italia.</w:t>
      </w:r>
    </w:p>
    <w:p w14:paraId="54D06BE4" w14:textId="51D43EFB" w:rsidR="00125E97" w:rsidRPr="00125E97" w:rsidRDefault="00125E97" w:rsidP="00125E97">
      <w:pPr>
        <w:pStyle w:val="a6"/>
        <w:numPr>
          <w:ilvl w:val="0"/>
          <w:numId w:val="3"/>
        </w:numPr>
        <w:pBdr>
          <w:top w:val="nil"/>
          <w:left w:val="nil"/>
          <w:bottom w:val="nil"/>
          <w:right w:val="nil"/>
          <w:between w:val="nil"/>
        </w:pBdr>
        <w:rPr>
          <w:b/>
          <w:noProof/>
          <w:color w:val="000000"/>
          <w:lang w:val="it-IT"/>
        </w:rPr>
      </w:pPr>
      <w:r w:rsidRPr="00125E97">
        <w:rPr>
          <w:b/>
          <w:noProof/>
          <w:color w:val="000000"/>
          <w:lang w:val="it-IT"/>
        </w:rPr>
        <w:t>CENTRO DI SALUTE GLOBALE</w:t>
      </w:r>
    </w:p>
    <w:p w14:paraId="56810AF5" w14:textId="1365487A" w:rsidR="00125E97" w:rsidRDefault="00125E97" w:rsidP="00125E97">
      <w:pPr>
        <w:pStyle w:val="a6"/>
        <w:pBdr>
          <w:top w:val="nil"/>
          <w:left w:val="nil"/>
          <w:bottom w:val="nil"/>
          <w:right w:val="nil"/>
          <w:between w:val="nil"/>
        </w:pBdr>
        <w:rPr>
          <w:noProof/>
          <w:color w:val="000000"/>
          <w:lang w:val="it-IT"/>
        </w:rPr>
      </w:pPr>
      <w:r>
        <w:rPr>
          <w:noProof/>
          <w:color w:val="000000"/>
          <w:lang w:val="it-IT"/>
        </w:rPr>
        <w:t xml:space="preserve">Link: </w:t>
      </w:r>
      <w:hyperlink r:id="rId30" w:history="1">
        <w:r>
          <w:rPr>
            <w:rStyle w:val="-"/>
          </w:rPr>
          <w:t xml:space="preserve">Centro Salute </w:t>
        </w:r>
        <w:proofErr w:type="spellStart"/>
        <w:r>
          <w:rPr>
            <w:rStyle w:val="-"/>
          </w:rPr>
          <w:t>Globale</w:t>
        </w:r>
        <w:proofErr w:type="spellEnd"/>
        <w:r>
          <w:rPr>
            <w:rStyle w:val="-"/>
          </w:rPr>
          <w:t xml:space="preserve"> </w:t>
        </w:r>
        <w:proofErr w:type="spellStart"/>
        <w:r>
          <w:rPr>
            <w:rStyle w:val="-"/>
          </w:rPr>
          <w:t>della</w:t>
        </w:r>
        <w:proofErr w:type="spellEnd"/>
        <w:r>
          <w:rPr>
            <w:rStyle w:val="-"/>
          </w:rPr>
          <w:t xml:space="preserve"> </w:t>
        </w:r>
        <w:proofErr w:type="spellStart"/>
        <w:r>
          <w:rPr>
            <w:rStyle w:val="-"/>
          </w:rPr>
          <w:t>Regione</w:t>
        </w:r>
        <w:proofErr w:type="spellEnd"/>
        <w:r>
          <w:rPr>
            <w:rStyle w:val="-"/>
          </w:rPr>
          <w:t xml:space="preserve"> Toscana</w:t>
        </w:r>
      </w:hyperlink>
    </w:p>
    <w:p w14:paraId="53DEA5CD" w14:textId="0AAFBC64" w:rsidR="00125E97" w:rsidRPr="00125E97" w:rsidRDefault="00125E97" w:rsidP="00125E97">
      <w:pPr>
        <w:pBdr>
          <w:top w:val="nil"/>
          <w:left w:val="nil"/>
          <w:bottom w:val="nil"/>
          <w:right w:val="nil"/>
          <w:between w:val="nil"/>
        </w:pBdr>
        <w:rPr>
          <w:noProof/>
          <w:color w:val="000000"/>
          <w:lang w:val="it-IT"/>
        </w:rPr>
      </w:pPr>
      <w:r w:rsidRPr="00125E97">
        <w:rPr>
          <w:noProof/>
          <w:color w:val="000000"/>
        </w:rPr>
        <w:t>Il Centro di Salute Globale è la struttura della Regione Toscana per il coordinamento delle iniziative di cooperazione sanitaria internazionale e di tutela della salute dei migranti.</w:t>
      </w:r>
      <w:r w:rsidRPr="00125E97">
        <w:rPr>
          <w:noProof/>
          <w:color w:val="000000"/>
        </w:rPr>
        <w:br/>
        <w:t>Il Centro afferisce all’Azienda Ospedaliero-Universitaria Meyer di Firenze cui storicamente viene affidata l’attuazione della strategia regionale della Cooperazione Sanitaria Internazionale.</w:t>
      </w:r>
    </w:p>
    <w:p w14:paraId="0EB5FC60" w14:textId="4DA57789" w:rsidR="00423689" w:rsidRPr="00423689" w:rsidRDefault="00423689" w:rsidP="00423689">
      <w:pPr>
        <w:pStyle w:val="a6"/>
        <w:numPr>
          <w:ilvl w:val="0"/>
          <w:numId w:val="3"/>
        </w:numPr>
        <w:pBdr>
          <w:top w:val="nil"/>
          <w:left w:val="nil"/>
          <w:bottom w:val="nil"/>
          <w:right w:val="nil"/>
          <w:between w:val="nil"/>
        </w:pBdr>
        <w:rPr>
          <w:b/>
          <w:noProof/>
          <w:color w:val="000000"/>
          <w:lang w:val="it-IT"/>
        </w:rPr>
      </w:pPr>
      <w:r w:rsidRPr="00423689">
        <w:rPr>
          <w:b/>
          <w:noProof/>
          <w:color w:val="000000"/>
          <w:lang w:val="it-IT"/>
        </w:rPr>
        <w:lastRenderedPageBreak/>
        <w:t xml:space="preserve">RETE SAI- Sistema Accoglienza e Integrazione </w:t>
      </w:r>
    </w:p>
    <w:p w14:paraId="6A1E965A" w14:textId="2D44E4E5" w:rsidR="009842E7" w:rsidRPr="008F1D37" w:rsidRDefault="00423689" w:rsidP="00423689">
      <w:pPr>
        <w:pBdr>
          <w:top w:val="nil"/>
          <w:left w:val="nil"/>
          <w:bottom w:val="nil"/>
          <w:right w:val="nil"/>
          <w:between w:val="nil"/>
        </w:pBdr>
        <w:ind w:left="720"/>
        <w:rPr>
          <w:noProof/>
          <w:color w:val="000000"/>
          <w:lang w:val="it-IT"/>
        </w:rPr>
      </w:pPr>
      <w:r>
        <w:rPr>
          <w:noProof/>
          <w:lang w:val="it-IT"/>
        </w:rPr>
        <w:t xml:space="preserve">Link: </w:t>
      </w:r>
      <w:hyperlink r:id="rId31">
        <w:r w:rsidR="000512B4" w:rsidRPr="008F1D37">
          <w:rPr>
            <w:noProof/>
            <w:color w:val="0563C1"/>
            <w:u w:val="single"/>
            <w:lang w:val="it-IT"/>
          </w:rPr>
          <w:t>RETESAI | Sistema Accoglienza Integrazione</w:t>
        </w:r>
      </w:hyperlink>
    </w:p>
    <w:p w14:paraId="6A1E965C" w14:textId="6B36E587" w:rsidR="009842E7" w:rsidRDefault="00125E97">
      <w:pPr>
        <w:rPr>
          <w:noProof/>
        </w:rPr>
      </w:pPr>
      <w:r w:rsidRPr="00125E97">
        <w:rPr>
          <w:noProof/>
        </w:rPr>
        <w:t>ll Sistema di accoglienza e integrazione SAI è costituito dalla </w:t>
      </w:r>
      <w:r w:rsidRPr="00125E97">
        <w:rPr>
          <w:b/>
          <w:bCs/>
          <w:noProof/>
        </w:rPr>
        <w:t>rete degli enti locali</w:t>
      </w:r>
      <w:r w:rsidRPr="00125E97">
        <w:rPr>
          <w:noProof/>
        </w:rPr>
        <w:t> che per la realizzazione di progetti di accoglienza integrata accedono, nei limiti delle risorse disponibili, al Fondo nazionale per le politiche e i servizi dell’asilo. A livello territoriale gli enti locali, con il prezioso supporto delle realtà del terzo settore, garantiscono interventi di </w:t>
      </w:r>
      <w:r w:rsidRPr="00125E97">
        <w:rPr>
          <w:i/>
          <w:iCs/>
          <w:noProof/>
        </w:rPr>
        <w:t>accoglienza integrata</w:t>
      </w:r>
      <w:r w:rsidRPr="00125E97">
        <w:rPr>
          <w:noProof/>
        </w:rPr>
        <w:t> che, oltre ad assicurare servizi di vitto e alloggio, prevedono in modo complementare anche misure di informazione, accompagnamento, assistenza e orientamento, attraverso la costruzione di percorsi individuali di inserimento socio-economico.</w:t>
      </w:r>
    </w:p>
    <w:p w14:paraId="341057DE" w14:textId="6BADE535" w:rsidR="00125E97" w:rsidRPr="008F1D37" w:rsidRDefault="00125E97">
      <w:pPr>
        <w:rPr>
          <w:noProof/>
          <w:lang w:val="it-IT"/>
        </w:rPr>
      </w:pPr>
      <w:r w:rsidRPr="00125E97">
        <w:rPr>
          <w:noProof/>
        </w:rPr>
        <w:t>All’interno del Sistema sono, inoltre, presenti progetti specializzati per l’accoglienza e sostegno di persone portatrici di specifiche vulnerabilità: persone disabili o con problemi di salute (fisica e mentale), minori non accompagnati, vittime di tortura, nuclei monoparentali, donne sole in stato di gravidanza</w:t>
      </w:r>
      <w:r>
        <w:rPr>
          <w:noProof/>
        </w:rPr>
        <w:t>.</w:t>
      </w:r>
    </w:p>
    <w:p w14:paraId="7AEA3685" w14:textId="1ECF627A" w:rsidR="00423689" w:rsidRPr="00423689" w:rsidRDefault="00423689">
      <w:pPr>
        <w:numPr>
          <w:ilvl w:val="0"/>
          <w:numId w:val="3"/>
        </w:numPr>
        <w:pBdr>
          <w:top w:val="nil"/>
          <w:left w:val="nil"/>
          <w:bottom w:val="nil"/>
          <w:right w:val="nil"/>
          <w:between w:val="nil"/>
        </w:pBdr>
        <w:rPr>
          <w:b/>
          <w:noProof/>
          <w:color w:val="000000"/>
          <w:lang w:val="it-IT"/>
        </w:rPr>
      </w:pPr>
      <w:r w:rsidRPr="00423689">
        <w:rPr>
          <w:b/>
          <w:noProof/>
          <w:color w:val="000000"/>
          <w:lang w:val="it-IT"/>
        </w:rPr>
        <w:t xml:space="preserve">Progetto I.C.A.R.E (Integration and Community Care for Asylum and Refugees in Emergency) </w:t>
      </w:r>
    </w:p>
    <w:p w14:paraId="6A1E965D" w14:textId="594EE458" w:rsidR="009842E7" w:rsidRPr="008F1D37" w:rsidRDefault="00423689" w:rsidP="00423689">
      <w:pPr>
        <w:pBdr>
          <w:top w:val="nil"/>
          <w:left w:val="nil"/>
          <w:bottom w:val="nil"/>
          <w:right w:val="nil"/>
          <w:between w:val="nil"/>
        </w:pBdr>
        <w:ind w:left="720"/>
        <w:rPr>
          <w:noProof/>
          <w:color w:val="000000"/>
          <w:lang w:val="it-IT"/>
        </w:rPr>
      </w:pPr>
      <w:r>
        <w:rPr>
          <w:noProof/>
          <w:lang w:val="it-IT"/>
        </w:rPr>
        <w:t xml:space="preserve">Link: </w:t>
      </w:r>
      <w:hyperlink r:id="rId32">
        <w:r w:rsidR="000512B4" w:rsidRPr="008F1D37">
          <w:rPr>
            <w:noProof/>
            <w:color w:val="0563C1"/>
            <w:u w:val="single"/>
            <w:lang w:val="it-IT"/>
          </w:rPr>
          <w:t>Homepage - I.C.A.R.E. TOSCANA (sanita.toscana.it)</w:t>
        </w:r>
      </w:hyperlink>
      <w:r w:rsidR="000512B4" w:rsidRPr="008F1D37">
        <w:rPr>
          <w:noProof/>
          <w:color w:val="0563C1"/>
          <w:u w:val="single"/>
          <w:lang w:val="it-IT"/>
        </w:rPr>
        <w:t xml:space="preserve"> </w:t>
      </w:r>
    </w:p>
    <w:p w14:paraId="3E0F2A36" w14:textId="716F30B3" w:rsidR="00125E97" w:rsidRPr="00125E97" w:rsidRDefault="00125E97" w:rsidP="00125E97">
      <w:pPr>
        <w:rPr>
          <w:noProof/>
          <w:color w:val="000000"/>
          <w:lang w:val="it-IT"/>
        </w:rPr>
      </w:pPr>
      <w:r w:rsidRPr="00125E97">
        <w:rPr>
          <w:noProof/>
          <w:color w:val="000000"/>
          <w:lang w:val="it-IT"/>
        </w:rPr>
        <w:t>Il progetto ICARE ha lo scopo di </w:t>
      </w:r>
      <w:r w:rsidRPr="00125E97">
        <w:rPr>
          <w:b/>
          <w:bCs/>
          <w:noProof/>
          <w:color w:val="000000"/>
          <w:lang w:val="it-IT"/>
        </w:rPr>
        <w:t>garantire la presa in carico da parte dei servizi sanitari territoriali dei titolari e/o richiedenti di protezione internazionale (</w:t>
      </w:r>
      <w:r>
        <w:rPr>
          <w:b/>
          <w:bCs/>
          <w:noProof/>
          <w:color w:val="000000"/>
          <w:lang w:val="it-IT"/>
        </w:rPr>
        <w:t>RT</w:t>
      </w:r>
      <w:r w:rsidRPr="00125E97">
        <w:rPr>
          <w:b/>
          <w:bCs/>
          <w:noProof/>
          <w:color w:val="000000"/>
          <w:lang w:val="it-IT"/>
        </w:rPr>
        <w:t>PI) e dei Casi Speciali del D. lgs. 113/2018</w:t>
      </w:r>
      <w:r w:rsidRPr="00125E97">
        <w:rPr>
          <w:noProof/>
          <w:color w:val="000000"/>
          <w:lang w:val="it-IT"/>
        </w:rPr>
        <w:t> attraverso equipe multidisciplinari, che garantiscano percorsi che siano al tempo stesso dedicati e culturalmente orientati, avvalendosi di Mediatori Linguistico Culturali e Antropolog* .</w:t>
      </w:r>
    </w:p>
    <w:p w14:paraId="66D33660" w14:textId="77777777" w:rsidR="00125E97" w:rsidRPr="00125E97" w:rsidRDefault="00125E97" w:rsidP="00125E97">
      <w:pPr>
        <w:rPr>
          <w:noProof/>
          <w:color w:val="000000"/>
          <w:lang w:val="it-IT"/>
        </w:rPr>
      </w:pPr>
      <w:r w:rsidRPr="00125E97">
        <w:rPr>
          <w:noProof/>
          <w:color w:val="000000"/>
          <w:lang w:val="it-IT"/>
        </w:rPr>
        <w:t>La finalità del progetto è </w:t>
      </w:r>
      <w:r w:rsidRPr="00125E97">
        <w:rPr>
          <w:b/>
          <w:bCs/>
          <w:noProof/>
          <w:color w:val="000000"/>
          <w:lang w:val="it-IT"/>
        </w:rPr>
        <w:t>migliorare l'accesso alle cure nei servizi sanitari territoriali</w:t>
      </w:r>
      <w:r w:rsidRPr="00125E97">
        <w:rPr>
          <w:noProof/>
          <w:color w:val="000000"/>
          <w:lang w:val="it-IT"/>
        </w:rPr>
        <w:t>, garantendo risposte appropriate, efficaci e adeguate ai bisogni di salute dei singoli RTPI e dei Casi Speciali in situazione di vulnerabilità socio-sanitaria.</w:t>
      </w:r>
    </w:p>
    <w:p w14:paraId="0EA46547" w14:textId="2B3CB133" w:rsidR="00125E97" w:rsidRDefault="00125E97">
      <w:pPr>
        <w:rPr>
          <w:noProof/>
          <w:color w:val="000000"/>
          <w:lang w:val="it-IT"/>
        </w:rPr>
      </w:pPr>
      <w:r w:rsidRPr="00125E97">
        <w:rPr>
          <w:noProof/>
          <w:color w:val="000000"/>
          <w:lang w:val="it-IT"/>
        </w:rPr>
        <w:lastRenderedPageBreak/>
        <w:t>Il target privilegiato ICARE è rappresentato da donne, minori e minori stranieri non accompagnati, nuclei familiari in condizione di vulnerabilità sanitaria. Tuttavia il progetto si rivolge anche agli uomini adulti che rientrano nella popolazione target in situazione di vulnerabilità psicofisica i cui bisogni rientrano nei percorsi assistenziali garantiti dal Consultorio.</w:t>
      </w:r>
    </w:p>
    <w:p w14:paraId="5353B41E" w14:textId="070AED25" w:rsidR="00125E97" w:rsidRPr="00125E97" w:rsidRDefault="00125E97">
      <w:pPr>
        <w:numPr>
          <w:ilvl w:val="0"/>
          <w:numId w:val="3"/>
        </w:numPr>
        <w:pBdr>
          <w:top w:val="nil"/>
          <w:left w:val="nil"/>
          <w:bottom w:val="nil"/>
          <w:right w:val="nil"/>
          <w:between w:val="nil"/>
        </w:pBdr>
        <w:rPr>
          <w:b/>
          <w:noProof/>
          <w:color w:val="000000"/>
          <w:lang w:val="it-IT"/>
        </w:rPr>
      </w:pPr>
      <w:r w:rsidRPr="00125E97">
        <w:rPr>
          <w:b/>
          <w:noProof/>
          <w:color w:val="000000"/>
          <w:lang w:val="it-IT"/>
        </w:rPr>
        <w:t>PROGETTO NET CARE</w:t>
      </w:r>
    </w:p>
    <w:p w14:paraId="6A1E965F" w14:textId="47EEA7DD" w:rsidR="009842E7" w:rsidRDefault="00125E97" w:rsidP="00125E97">
      <w:pPr>
        <w:pBdr>
          <w:top w:val="nil"/>
          <w:left w:val="nil"/>
          <w:bottom w:val="nil"/>
          <w:right w:val="nil"/>
          <w:between w:val="nil"/>
        </w:pBdr>
        <w:ind w:left="720"/>
        <w:rPr>
          <w:noProof/>
          <w:color w:val="0563C1"/>
          <w:highlight w:val="white"/>
          <w:u w:val="single"/>
          <w:lang w:val="it-IT"/>
        </w:rPr>
      </w:pPr>
      <w:r w:rsidRPr="00125E97">
        <w:rPr>
          <w:noProof/>
          <w:highlight w:val="white"/>
          <w:lang w:val="it-IT"/>
        </w:rPr>
        <w:t>Link:</w:t>
      </w:r>
      <w:r w:rsidRPr="00125E97">
        <w:rPr>
          <w:noProof/>
          <w:highlight w:val="white"/>
          <w:u w:val="single"/>
          <w:lang w:val="it-IT"/>
        </w:rPr>
        <w:t xml:space="preserve"> </w:t>
      </w:r>
      <w:hyperlink r:id="rId33" w:history="1">
        <w:r w:rsidRPr="0068588A">
          <w:rPr>
            <w:rStyle w:val="-"/>
            <w:noProof/>
            <w:highlight w:val="white"/>
            <w:lang w:val="it-IT"/>
          </w:rPr>
          <w:t>https://www.youtube.com/playlist?list=PL5WpPAVGKvdafMKFEIeh5tpeg995Y4QiA</w:t>
        </w:r>
      </w:hyperlink>
      <w:r w:rsidR="000512B4" w:rsidRPr="008F1D37">
        <w:rPr>
          <w:noProof/>
          <w:color w:val="0563C1"/>
          <w:highlight w:val="white"/>
          <w:u w:val="single"/>
          <w:lang w:val="it-IT"/>
        </w:rPr>
        <w:t xml:space="preserve"> </w:t>
      </w:r>
    </w:p>
    <w:p w14:paraId="29AA9D0F" w14:textId="6B05C009" w:rsidR="006A0197" w:rsidRPr="008F1D37" w:rsidRDefault="006A0197" w:rsidP="006A0197">
      <w:pPr>
        <w:pBdr>
          <w:top w:val="nil"/>
          <w:left w:val="nil"/>
          <w:bottom w:val="nil"/>
          <w:right w:val="nil"/>
          <w:between w:val="nil"/>
        </w:pBdr>
        <w:rPr>
          <w:noProof/>
          <w:color w:val="000000"/>
          <w:lang w:val="it-IT"/>
        </w:rPr>
      </w:pPr>
      <w:r w:rsidRPr="006A0197">
        <w:rPr>
          <w:noProof/>
          <w:color w:val="000000"/>
          <w:lang w:val="it-IT"/>
        </w:rPr>
        <w:t>Il video realizzato per il progetto Net Care è stato sviluppato dal Global Health Centre in collaborazione con Oxfam e Alice soc. coop - Centro Antiviolenza La Nara. Promuove l'accesso ai servizi di protezione nei casi di violenza di genere. Il video è disponibile in arabo, bangla, cinese, francese, italiano, inglese pidgin, punjabi, spagnolo, urdu.</w:t>
      </w:r>
    </w:p>
    <w:p w14:paraId="41585F7E" w14:textId="1774029A" w:rsidR="00125E97" w:rsidRPr="00125E97" w:rsidRDefault="006A0197">
      <w:pPr>
        <w:numPr>
          <w:ilvl w:val="0"/>
          <w:numId w:val="3"/>
        </w:numPr>
        <w:pBdr>
          <w:top w:val="nil"/>
          <w:left w:val="nil"/>
          <w:bottom w:val="nil"/>
          <w:right w:val="nil"/>
          <w:between w:val="nil"/>
        </w:pBdr>
        <w:rPr>
          <w:noProof/>
          <w:color w:val="000000"/>
          <w:lang w:val="it-IT"/>
        </w:rPr>
      </w:pPr>
      <w:r>
        <w:rPr>
          <w:b/>
          <w:noProof/>
          <w:lang w:val="it-IT"/>
        </w:rPr>
        <w:t>PROGETTO MIG HEALTHCARE</w:t>
      </w:r>
      <w:r w:rsidR="00125E97" w:rsidRPr="008F1D37">
        <w:rPr>
          <w:b/>
          <w:noProof/>
          <w:lang w:val="it-IT"/>
        </w:rPr>
        <w:t>-</w:t>
      </w:r>
      <w:r w:rsidR="00125E97" w:rsidRPr="008F1D37">
        <w:rPr>
          <w:noProof/>
          <w:lang w:val="it-IT"/>
        </w:rPr>
        <w:t xml:space="preserve"> </w:t>
      </w:r>
      <w:r w:rsidR="00125E97" w:rsidRPr="008F1D37">
        <w:rPr>
          <w:b/>
          <w:noProof/>
          <w:lang w:val="it-IT"/>
        </w:rPr>
        <w:t>Minimize health inequalities and improve the integration of vulnerable migrants and refugees into local communities</w:t>
      </w:r>
    </w:p>
    <w:p w14:paraId="398A5216" w14:textId="620720C1" w:rsidR="00125E97" w:rsidRPr="008F1D37" w:rsidRDefault="00125E97" w:rsidP="00125E97">
      <w:pPr>
        <w:pStyle w:val="a3"/>
        <w:ind w:left="720"/>
        <w:rPr>
          <w:b/>
          <w:noProof/>
          <w:lang w:val="it-IT"/>
        </w:rPr>
      </w:pPr>
      <w:r>
        <w:rPr>
          <w:i w:val="0"/>
          <w:noProof/>
          <w:lang w:val="it-IT"/>
        </w:rPr>
        <w:t>Link:</w:t>
      </w:r>
      <w:r w:rsidRPr="00125E97">
        <w:rPr>
          <w:noProof/>
          <w:lang w:val="it-IT"/>
        </w:rPr>
        <w:t xml:space="preserve"> </w:t>
      </w:r>
      <w:hyperlink r:id="rId34">
        <w:r w:rsidRPr="00125E97">
          <w:rPr>
            <w:i w:val="0"/>
            <w:noProof/>
            <w:color w:val="0563C1"/>
            <w:u w:val="single"/>
            <w:lang w:val="it-IT"/>
          </w:rPr>
          <w:t>https://www.mighealthcare.eu/</w:t>
        </w:r>
      </w:hyperlink>
    </w:p>
    <w:p w14:paraId="4F285600" w14:textId="77777777" w:rsidR="00125E97" w:rsidRDefault="00125E97" w:rsidP="00522F3B">
      <w:pPr>
        <w:rPr>
          <w:noProof/>
          <w:color w:val="000000"/>
          <w:lang w:val="it-IT"/>
        </w:rPr>
      </w:pPr>
    </w:p>
    <w:p w14:paraId="6208C1D5" w14:textId="5D7E9CF5" w:rsidR="00522F3B" w:rsidRPr="008F1D37" w:rsidRDefault="00125E97" w:rsidP="00522F3B">
      <w:pPr>
        <w:rPr>
          <w:noProof/>
          <w:color w:val="000000"/>
          <w:lang w:val="it-IT"/>
        </w:rPr>
      </w:pPr>
      <w:r w:rsidRPr="00125E97">
        <w:rPr>
          <w:noProof/>
          <w:color w:val="000000"/>
          <w:lang w:val="it-IT"/>
        </w:rPr>
        <w:t xml:space="preserve">MyHealth (http://healthonthemove.net/) e Mig-HealthCare (http://www.mighealthcare.eu) sono progetti finanziati dall'UE che mirano a migliorare l'accesso all'assistenza sanitaria per i migranti e i rifugiati vulnerabili, sostenendo la loro partecipazione e inclusione nelle comunità e riducendo le disuguaglianze sanitarie attraverso l'implementazione di modelli basati sul </w:t>
      </w:r>
      <w:r w:rsidRPr="006A0197">
        <w:rPr>
          <w:i/>
          <w:noProof/>
          <w:color w:val="000000"/>
          <w:lang w:val="it-IT"/>
        </w:rPr>
        <w:t>know-how</w:t>
      </w:r>
      <w:r w:rsidRPr="00125E97">
        <w:rPr>
          <w:noProof/>
          <w:color w:val="000000"/>
          <w:lang w:val="it-IT"/>
        </w:rPr>
        <w:t xml:space="preserve"> di una rete multidisciplinare europea.</w:t>
      </w:r>
      <w:r w:rsidR="000512B4" w:rsidRPr="008F1D37">
        <w:rPr>
          <w:noProof/>
          <w:color w:val="000000"/>
          <w:lang w:val="it-IT"/>
        </w:rPr>
        <w:t xml:space="preserve">. </w:t>
      </w:r>
      <w:r w:rsidR="00522F3B" w:rsidRPr="008F1D37">
        <w:rPr>
          <w:noProof/>
          <w:color w:val="000000"/>
          <w:lang w:val="it-IT"/>
        </w:rPr>
        <w:t>Il database fornisce informazioni sul profilo di salute fisica e mentale dei migranti e dei rifugiati vulnerabili in tutta l'UE, nonché sull'ambiente istituzionale e sui servizi sanitari disponibili per loro.</w:t>
      </w:r>
    </w:p>
    <w:p w14:paraId="0500F94D" w14:textId="746382B5" w:rsidR="00522F3B" w:rsidRPr="008F1D37" w:rsidRDefault="00522F3B" w:rsidP="00522F3B">
      <w:pPr>
        <w:rPr>
          <w:noProof/>
          <w:color w:val="000000"/>
          <w:lang w:val="it-IT"/>
        </w:rPr>
      </w:pPr>
      <w:r w:rsidRPr="008F1D37">
        <w:rPr>
          <w:noProof/>
          <w:color w:val="000000"/>
          <w:lang w:val="it-IT"/>
        </w:rPr>
        <w:t xml:space="preserve">Il Progetto Mig-Healthcare dà anche accesso a una roadmap e a un toolbox che combinano i dati della ricerca originale e altre informazioni per presentare passi concreti nella fornitura di assistenza a migranti e rifugiati a livello comunitario. Questa struttura è una risorsa preziosa </w:t>
      </w:r>
      <w:r w:rsidRPr="008F1D37">
        <w:rPr>
          <w:noProof/>
          <w:color w:val="000000"/>
          <w:lang w:val="it-IT"/>
        </w:rPr>
        <w:lastRenderedPageBreak/>
        <w:t>e utile per un'ampia varietà di soggetti interessati sia a livello individuale che organizzativo, compresi, tra gli altri, i migranti/rifugiati e i loro organismi di rappresentanza.</w:t>
      </w:r>
    </w:p>
    <w:p w14:paraId="6A1E9662" w14:textId="3CAF4312" w:rsidR="009842E7" w:rsidRPr="008F1D37" w:rsidRDefault="00522F3B" w:rsidP="00522F3B">
      <w:pPr>
        <w:rPr>
          <w:noProof/>
          <w:lang w:val="it-IT"/>
        </w:rPr>
      </w:pPr>
      <w:r w:rsidRPr="008F1D37">
        <w:rPr>
          <w:noProof/>
          <w:color w:val="000000"/>
          <w:lang w:val="it-IT"/>
        </w:rPr>
        <w:t>Il progetto Mig-Healthcare fornisce anche una mappa interattiva per individuare le risorse per l'assistenza sanitaria e sociale ai migranti disponibili sul territorio europeo (</w:t>
      </w:r>
      <w:r w:rsidR="006A0197">
        <w:rPr>
          <w:noProof/>
          <w:color w:val="000000"/>
          <w:lang w:val="it-IT"/>
        </w:rPr>
        <w:t xml:space="preserve">n.d.r </w:t>
      </w:r>
      <w:r w:rsidRPr="008F1D37">
        <w:rPr>
          <w:noProof/>
          <w:color w:val="000000"/>
          <w:lang w:val="it-IT"/>
        </w:rPr>
        <w:t>ultimo aggiornamento nel 2020).</w:t>
      </w:r>
    </w:p>
    <w:p w14:paraId="6A1E9663" w14:textId="02568125" w:rsidR="009842E7" w:rsidRPr="008F1D37" w:rsidRDefault="0037195B" w:rsidP="0037195B">
      <w:pPr>
        <w:pStyle w:val="2"/>
        <w:jc w:val="center"/>
        <w:rPr>
          <w:noProof/>
          <w:lang w:val="it-IT"/>
        </w:rPr>
      </w:pPr>
      <w:bookmarkStart w:id="6" w:name="_Toc112418149"/>
      <w:r>
        <w:rPr>
          <w:noProof/>
          <w:lang w:val="it-IT"/>
        </w:rPr>
        <w:t xml:space="preserve">2.2.1 </w:t>
      </w:r>
      <w:r w:rsidR="006A0197">
        <w:rPr>
          <w:noProof/>
          <w:lang w:val="it-IT"/>
        </w:rPr>
        <w:t>Applicazioni per la salute digitale</w:t>
      </w:r>
      <w:bookmarkEnd w:id="6"/>
    </w:p>
    <w:p w14:paraId="2EEFF196" w14:textId="03A9540C" w:rsidR="006A0197" w:rsidRPr="0037195B" w:rsidRDefault="006A0197">
      <w:pPr>
        <w:numPr>
          <w:ilvl w:val="0"/>
          <w:numId w:val="3"/>
        </w:numPr>
        <w:pBdr>
          <w:top w:val="nil"/>
          <w:left w:val="nil"/>
          <w:bottom w:val="nil"/>
          <w:right w:val="nil"/>
          <w:between w:val="nil"/>
        </w:pBdr>
        <w:rPr>
          <w:b/>
          <w:noProof/>
          <w:color w:val="000000"/>
          <w:lang w:val="it-IT"/>
        </w:rPr>
      </w:pPr>
      <w:r w:rsidRPr="0037195B">
        <w:rPr>
          <w:b/>
          <w:noProof/>
          <w:lang w:val="it-IT"/>
        </w:rPr>
        <w:t>APP TOSCANA SALUTE-</w:t>
      </w:r>
      <w:r w:rsidRPr="0037195B">
        <w:rPr>
          <w:b/>
          <w:noProof/>
          <w:color w:val="000000"/>
          <w:lang w:val="it-IT"/>
        </w:rPr>
        <w:t xml:space="preserve">La </w:t>
      </w:r>
      <w:r w:rsidRPr="0037195B">
        <w:rPr>
          <w:b/>
          <w:i/>
          <w:noProof/>
          <w:color w:val="000000"/>
          <w:lang w:val="it-IT"/>
        </w:rPr>
        <w:t>App</w:t>
      </w:r>
      <w:r w:rsidRPr="0037195B">
        <w:rPr>
          <w:b/>
          <w:noProof/>
          <w:color w:val="000000"/>
          <w:lang w:val="it-IT"/>
        </w:rPr>
        <w:t xml:space="preserve"> del servizio sanitario della Toscana</w:t>
      </w:r>
    </w:p>
    <w:p w14:paraId="411706EC" w14:textId="38977B82" w:rsidR="006A0197" w:rsidRDefault="006A0197" w:rsidP="006A0197">
      <w:pPr>
        <w:pBdr>
          <w:top w:val="nil"/>
          <w:left w:val="nil"/>
          <w:bottom w:val="nil"/>
          <w:right w:val="nil"/>
          <w:between w:val="nil"/>
        </w:pBdr>
        <w:ind w:left="720"/>
        <w:rPr>
          <w:noProof/>
          <w:color w:val="0563C1"/>
          <w:u w:val="single"/>
          <w:lang w:val="it-IT"/>
        </w:rPr>
      </w:pPr>
      <w:r>
        <w:rPr>
          <w:noProof/>
          <w:lang w:val="it-IT"/>
        </w:rPr>
        <w:t xml:space="preserve">Link: </w:t>
      </w:r>
      <w:hyperlink r:id="rId35">
        <w:r w:rsidR="000512B4" w:rsidRPr="008F1D37">
          <w:rPr>
            <w:noProof/>
            <w:color w:val="0563C1"/>
            <w:u w:val="single"/>
            <w:lang w:val="it-IT"/>
          </w:rPr>
          <w:t>Toscana Salute - Regione Toscana</w:t>
        </w:r>
      </w:hyperlink>
    </w:p>
    <w:p w14:paraId="6A1E9664" w14:textId="763115D0" w:rsidR="009842E7" w:rsidRPr="008F1D37" w:rsidRDefault="006A0197" w:rsidP="006A0197">
      <w:pPr>
        <w:pBdr>
          <w:top w:val="nil"/>
          <w:left w:val="nil"/>
          <w:bottom w:val="nil"/>
          <w:right w:val="nil"/>
          <w:between w:val="nil"/>
        </w:pBdr>
        <w:ind w:left="720"/>
        <w:rPr>
          <w:noProof/>
          <w:color w:val="000000"/>
          <w:lang w:val="it-IT"/>
        </w:rPr>
      </w:pPr>
      <w:r>
        <w:rPr>
          <w:noProof/>
          <w:lang w:val="it-IT"/>
        </w:rPr>
        <w:t xml:space="preserve">          </w:t>
      </w:r>
      <w:hyperlink r:id="rId36">
        <w:r w:rsidR="000512B4" w:rsidRPr="008F1D37">
          <w:rPr>
            <w:noProof/>
            <w:color w:val="0563C1"/>
            <w:u w:val="single"/>
            <w:lang w:val="it-IT"/>
          </w:rPr>
          <w:t>App Toscana Salute - YouTube</w:t>
        </w:r>
      </w:hyperlink>
      <w:r w:rsidR="000512B4" w:rsidRPr="008F1D37">
        <w:rPr>
          <w:noProof/>
          <w:color w:val="0563C1"/>
          <w:u w:val="single"/>
          <w:lang w:val="it-IT"/>
        </w:rPr>
        <w:t xml:space="preserve"> </w:t>
      </w:r>
    </w:p>
    <w:p w14:paraId="3B6D24B5" w14:textId="719C3A1E" w:rsidR="006A0197" w:rsidRPr="006A0197" w:rsidRDefault="006A0197" w:rsidP="006A0197">
      <w:pPr>
        <w:rPr>
          <w:noProof/>
          <w:color w:val="000000"/>
          <w:lang w:val="it-IT"/>
        </w:rPr>
      </w:pPr>
      <w:r w:rsidRPr="006A0197">
        <w:rPr>
          <w:noProof/>
          <w:color w:val="000000"/>
          <w:lang w:val="it-IT"/>
        </w:rPr>
        <w:t>Toscana Salute</w:t>
      </w:r>
      <w:r>
        <w:rPr>
          <w:noProof/>
          <w:color w:val="000000"/>
          <w:lang w:val="it-IT"/>
        </w:rPr>
        <w:t>m è una</w:t>
      </w:r>
      <w:r w:rsidRPr="006A0197">
        <w:rPr>
          <w:noProof/>
          <w:color w:val="000000"/>
          <w:lang w:val="it-IT"/>
        </w:rPr>
        <w:t xml:space="preserve"> App che  offre l'accesso ai servizi on line della sanità toscana attraverso dispositivi mobili.</w:t>
      </w:r>
    </w:p>
    <w:p w14:paraId="6525F9CF" w14:textId="554A341A" w:rsidR="006A0197" w:rsidRPr="006A0197" w:rsidRDefault="006A0197" w:rsidP="006A0197">
      <w:pPr>
        <w:rPr>
          <w:noProof/>
          <w:color w:val="000000"/>
          <w:lang w:val="it-IT"/>
        </w:rPr>
      </w:pPr>
      <w:r w:rsidRPr="006A0197">
        <w:rPr>
          <w:noProof/>
          <w:color w:val="000000"/>
          <w:lang w:val="it-IT"/>
        </w:rPr>
        <w:t>Con </w:t>
      </w:r>
      <w:r w:rsidRPr="006A0197">
        <w:rPr>
          <w:b/>
          <w:bCs/>
          <w:noProof/>
          <w:color w:val="000000"/>
          <w:lang w:val="it-IT"/>
        </w:rPr>
        <w:t>Toscana Salute</w:t>
      </w:r>
      <w:r>
        <w:rPr>
          <w:b/>
          <w:bCs/>
          <w:noProof/>
          <w:color w:val="000000"/>
          <w:lang w:val="it-IT"/>
        </w:rPr>
        <w:t xml:space="preserve"> è possibile</w:t>
      </w:r>
      <w:r w:rsidRPr="006A0197">
        <w:rPr>
          <w:noProof/>
          <w:color w:val="000000"/>
          <w:lang w:val="it-IT"/>
        </w:rPr>
        <w:t>:</w:t>
      </w:r>
    </w:p>
    <w:p w14:paraId="7CED7407" w14:textId="77777777" w:rsidR="006A0197" w:rsidRPr="006A0197" w:rsidRDefault="006A0197" w:rsidP="006A0197">
      <w:pPr>
        <w:numPr>
          <w:ilvl w:val="0"/>
          <w:numId w:val="15"/>
        </w:numPr>
        <w:rPr>
          <w:noProof/>
          <w:color w:val="000000"/>
          <w:lang w:val="it-IT"/>
        </w:rPr>
      </w:pPr>
      <w:r w:rsidRPr="006A0197">
        <w:rPr>
          <w:noProof/>
          <w:color w:val="000000"/>
          <w:lang w:val="it-IT"/>
        </w:rPr>
        <w:t>prenotare analisi del sangue</w:t>
      </w:r>
    </w:p>
    <w:p w14:paraId="3C893E15" w14:textId="77777777" w:rsidR="006A0197" w:rsidRPr="006A0197" w:rsidRDefault="006A0197" w:rsidP="006A0197">
      <w:pPr>
        <w:numPr>
          <w:ilvl w:val="0"/>
          <w:numId w:val="15"/>
        </w:numPr>
        <w:rPr>
          <w:noProof/>
          <w:color w:val="000000"/>
          <w:lang w:val="it-IT"/>
        </w:rPr>
      </w:pPr>
      <w:r w:rsidRPr="006A0197">
        <w:rPr>
          <w:noProof/>
          <w:color w:val="000000"/>
          <w:lang w:val="it-IT"/>
        </w:rPr>
        <w:t>effettuare una televisita</w:t>
      </w:r>
    </w:p>
    <w:p w14:paraId="781F8A1C" w14:textId="77777777" w:rsidR="006A0197" w:rsidRPr="006A0197" w:rsidRDefault="006A0197" w:rsidP="006A0197">
      <w:pPr>
        <w:numPr>
          <w:ilvl w:val="0"/>
          <w:numId w:val="15"/>
        </w:numPr>
        <w:rPr>
          <w:noProof/>
          <w:color w:val="000000"/>
          <w:lang w:val="it-IT"/>
        </w:rPr>
      </w:pPr>
      <w:r w:rsidRPr="006A0197">
        <w:rPr>
          <w:noProof/>
          <w:color w:val="000000"/>
          <w:lang w:val="it-IT"/>
        </w:rPr>
        <w:t>consultare il libretto di gravidanza digitale</w:t>
      </w:r>
    </w:p>
    <w:p w14:paraId="6D02563F" w14:textId="77777777" w:rsidR="006A0197" w:rsidRPr="006A0197" w:rsidRDefault="006A0197" w:rsidP="006A0197">
      <w:pPr>
        <w:numPr>
          <w:ilvl w:val="0"/>
          <w:numId w:val="15"/>
        </w:numPr>
        <w:rPr>
          <w:noProof/>
          <w:color w:val="000000"/>
          <w:lang w:val="it-IT"/>
        </w:rPr>
      </w:pPr>
      <w:r w:rsidRPr="006A0197">
        <w:rPr>
          <w:noProof/>
          <w:color w:val="000000"/>
          <w:lang w:val="it-IT"/>
        </w:rPr>
        <w:t>chiamare il Pronto Badante</w:t>
      </w:r>
    </w:p>
    <w:p w14:paraId="0DB39551" w14:textId="77777777" w:rsidR="006A0197" w:rsidRPr="006A0197" w:rsidRDefault="006A0197" w:rsidP="006A0197">
      <w:pPr>
        <w:numPr>
          <w:ilvl w:val="0"/>
          <w:numId w:val="15"/>
        </w:numPr>
        <w:rPr>
          <w:noProof/>
          <w:color w:val="000000"/>
          <w:lang w:val="it-IT"/>
        </w:rPr>
      </w:pPr>
      <w:r w:rsidRPr="006A0197">
        <w:rPr>
          <w:noProof/>
          <w:color w:val="000000"/>
          <w:lang w:val="it-IT"/>
        </w:rPr>
        <w:t>consultare informazioni utili per stranieri</w:t>
      </w:r>
    </w:p>
    <w:p w14:paraId="3D740397" w14:textId="77777777" w:rsidR="006A0197" w:rsidRPr="006A0197" w:rsidRDefault="006A0197" w:rsidP="006A0197">
      <w:pPr>
        <w:numPr>
          <w:ilvl w:val="0"/>
          <w:numId w:val="15"/>
        </w:numPr>
        <w:rPr>
          <w:noProof/>
          <w:color w:val="000000"/>
          <w:lang w:val="it-IT"/>
        </w:rPr>
      </w:pPr>
      <w:r w:rsidRPr="006A0197">
        <w:rPr>
          <w:noProof/>
          <w:color w:val="000000"/>
          <w:lang w:val="it-IT"/>
        </w:rPr>
        <w:t>​​​​​​​scaricare la certificazione verde Covid 19</w:t>
      </w:r>
    </w:p>
    <w:p w14:paraId="26BA966B" w14:textId="1ABDA0BD" w:rsidR="006A0197" w:rsidRPr="006A0197" w:rsidRDefault="006A0197" w:rsidP="006A0197">
      <w:pPr>
        <w:numPr>
          <w:ilvl w:val="0"/>
          <w:numId w:val="15"/>
        </w:numPr>
        <w:rPr>
          <w:noProof/>
          <w:color w:val="000000"/>
          <w:lang w:val="it-IT"/>
        </w:rPr>
      </w:pPr>
      <w:r w:rsidRPr="006A0197">
        <w:rPr>
          <w:noProof/>
          <w:color w:val="000000"/>
          <w:lang w:val="it-IT"/>
        </w:rPr>
        <w:t>consultare i referti</w:t>
      </w:r>
    </w:p>
    <w:p w14:paraId="5F294330" w14:textId="77777777" w:rsidR="006A0197" w:rsidRPr="006A0197" w:rsidRDefault="006A0197" w:rsidP="006A0197">
      <w:pPr>
        <w:numPr>
          <w:ilvl w:val="0"/>
          <w:numId w:val="15"/>
        </w:numPr>
        <w:rPr>
          <w:noProof/>
          <w:color w:val="000000"/>
          <w:lang w:val="it-IT"/>
        </w:rPr>
      </w:pPr>
      <w:r w:rsidRPr="006A0197">
        <w:rPr>
          <w:noProof/>
          <w:color w:val="000000"/>
          <w:lang w:val="it-IT"/>
        </w:rPr>
        <w:t>scaricare il promemoria delle ricette per farmaci, visite ed esami </w:t>
      </w:r>
    </w:p>
    <w:p w14:paraId="4D036ABE" w14:textId="77777777" w:rsidR="006A0197" w:rsidRPr="006A0197" w:rsidRDefault="006A0197" w:rsidP="006A0197">
      <w:pPr>
        <w:numPr>
          <w:ilvl w:val="0"/>
          <w:numId w:val="15"/>
        </w:numPr>
        <w:rPr>
          <w:noProof/>
          <w:color w:val="000000"/>
          <w:lang w:val="it-IT"/>
        </w:rPr>
      </w:pPr>
      <w:r w:rsidRPr="006A0197">
        <w:rPr>
          <w:noProof/>
          <w:color w:val="000000"/>
          <w:lang w:val="it-IT"/>
        </w:rPr>
        <w:t>consultare il borsellino elettronico per celiaci</w:t>
      </w:r>
    </w:p>
    <w:p w14:paraId="1722E0DB" w14:textId="77777777" w:rsidR="006A0197" w:rsidRPr="006A0197" w:rsidRDefault="006A0197" w:rsidP="006A0197">
      <w:pPr>
        <w:numPr>
          <w:ilvl w:val="0"/>
          <w:numId w:val="15"/>
        </w:numPr>
        <w:rPr>
          <w:noProof/>
          <w:color w:val="000000"/>
          <w:lang w:val="it-IT"/>
        </w:rPr>
      </w:pPr>
      <w:r w:rsidRPr="006A0197">
        <w:rPr>
          <w:noProof/>
          <w:color w:val="000000"/>
          <w:lang w:val="it-IT"/>
        </w:rPr>
        <w:t>consultare gli accessi al pronto soccorso</w:t>
      </w:r>
    </w:p>
    <w:p w14:paraId="3018DF44" w14:textId="77777777" w:rsidR="006A0197" w:rsidRPr="006A0197" w:rsidRDefault="006A0197" w:rsidP="006A0197">
      <w:pPr>
        <w:numPr>
          <w:ilvl w:val="0"/>
          <w:numId w:val="15"/>
        </w:numPr>
        <w:rPr>
          <w:noProof/>
          <w:color w:val="000000"/>
          <w:lang w:val="it-IT"/>
        </w:rPr>
      </w:pPr>
      <w:r w:rsidRPr="006A0197">
        <w:rPr>
          <w:noProof/>
          <w:color w:val="000000"/>
          <w:lang w:val="it-IT"/>
        </w:rPr>
        <w:t>prenotare visite mediche ed esami</w:t>
      </w:r>
    </w:p>
    <w:p w14:paraId="453A05E6" w14:textId="77777777" w:rsidR="006A0197" w:rsidRPr="006A0197" w:rsidRDefault="006A0197" w:rsidP="006A0197">
      <w:pPr>
        <w:numPr>
          <w:ilvl w:val="0"/>
          <w:numId w:val="15"/>
        </w:numPr>
        <w:rPr>
          <w:noProof/>
          <w:color w:val="000000"/>
          <w:lang w:val="it-IT"/>
        </w:rPr>
      </w:pPr>
      <w:r w:rsidRPr="006A0197">
        <w:rPr>
          <w:noProof/>
          <w:color w:val="000000"/>
          <w:lang w:val="it-IT"/>
        </w:rPr>
        <w:lastRenderedPageBreak/>
        <w:t>pagare il ticket sanitario</w:t>
      </w:r>
    </w:p>
    <w:p w14:paraId="5E012C5C" w14:textId="77777777" w:rsidR="006A0197" w:rsidRPr="006A0197" w:rsidRDefault="006A0197" w:rsidP="006A0197">
      <w:pPr>
        <w:numPr>
          <w:ilvl w:val="0"/>
          <w:numId w:val="15"/>
        </w:numPr>
        <w:rPr>
          <w:noProof/>
          <w:color w:val="000000"/>
          <w:lang w:val="it-IT"/>
        </w:rPr>
      </w:pPr>
      <w:r w:rsidRPr="006A0197">
        <w:rPr>
          <w:noProof/>
          <w:color w:val="000000"/>
          <w:lang w:val="it-IT"/>
        </w:rPr>
        <w:t>scegliere il medico di famiglia</w:t>
      </w:r>
    </w:p>
    <w:p w14:paraId="6E0F9D29" w14:textId="77777777" w:rsidR="006A0197" w:rsidRPr="006A0197" w:rsidRDefault="006A0197" w:rsidP="006A0197">
      <w:pPr>
        <w:numPr>
          <w:ilvl w:val="0"/>
          <w:numId w:val="15"/>
        </w:numPr>
        <w:rPr>
          <w:noProof/>
          <w:color w:val="000000"/>
          <w:lang w:val="it-IT"/>
        </w:rPr>
      </w:pPr>
      <w:r w:rsidRPr="006A0197">
        <w:rPr>
          <w:noProof/>
          <w:color w:val="000000"/>
          <w:lang w:val="it-IT"/>
        </w:rPr>
        <w:t>compilare e inviare l'autocertificazione per esenzione o per reddito per la compartecipazione alla spesa sanitaria</w:t>
      </w:r>
    </w:p>
    <w:p w14:paraId="680D22A1" w14:textId="77777777" w:rsidR="006A0197" w:rsidRPr="006A0197" w:rsidRDefault="006A0197" w:rsidP="006A0197">
      <w:pPr>
        <w:numPr>
          <w:ilvl w:val="0"/>
          <w:numId w:val="15"/>
        </w:numPr>
        <w:rPr>
          <w:noProof/>
          <w:color w:val="000000"/>
          <w:lang w:val="it-IT"/>
        </w:rPr>
      </w:pPr>
      <w:r w:rsidRPr="006A0197">
        <w:rPr>
          <w:noProof/>
          <w:color w:val="000000"/>
          <w:lang w:val="it-IT"/>
        </w:rPr>
        <w:t>gestire il  taccuino personale </w:t>
      </w:r>
    </w:p>
    <w:p w14:paraId="5AF67AB0" w14:textId="77777777" w:rsidR="006A0197" w:rsidRPr="006A0197" w:rsidRDefault="006A0197" w:rsidP="006A0197">
      <w:pPr>
        <w:numPr>
          <w:ilvl w:val="0"/>
          <w:numId w:val="15"/>
        </w:numPr>
        <w:rPr>
          <w:noProof/>
          <w:color w:val="000000"/>
          <w:lang w:val="it-IT"/>
        </w:rPr>
      </w:pPr>
      <w:r w:rsidRPr="006A0197">
        <w:rPr>
          <w:noProof/>
          <w:color w:val="000000"/>
          <w:lang w:val="it-IT"/>
        </w:rPr>
        <w:t>trovare i numeri utili del Servizio sanitario e delle Aziende sanitarie  </w:t>
      </w:r>
    </w:p>
    <w:p w14:paraId="6A1E9670" w14:textId="4704DC36" w:rsidR="009842E7" w:rsidRPr="008F1D37" w:rsidRDefault="006A0197">
      <w:pPr>
        <w:rPr>
          <w:noProof/>
          <w:lang w:val="it-IT"/>
        </w:rPr>
      </w:pPr>
      <w:r w:rsidRPr="006A0197">
        <w:rPr>
          <w:noProof/>
          <w:color w:val="000000"/>
          <w:lang w:val="it-IT"/>
        </w:rPr>
        <w:t xml:space="preserve">Per usare la App in tutte le sue funzioni </w:t>
      </w:r>
      <w:r>
        <w:rPr>
          <w:noProof/>
          <w:color w:val="000000"/>
          <w:lang w:val="it-IT"/>
        </w:rPr>
        <w:t xml:space="preserve">è necessario </w:t>
      </w:r>
      <w:r w:rsidRPr="006A0197">
        <w:rPr>
          <w:noProof/>
          <w:color w:val="000000"/>
          <w:lang w:val="it-IT"/>
        </w:rPr>
        <w:t>attiva</w:t>
      </w:r>
      <w:r>
        <w:rPr>
          <w:noProof/>
          <w:color w:val="000000"/>
          <w:lang w:val="it-IT"/>
        </w:rPr>
        <w:t>re</w:t>
      </w:r>
      <w:r w:rsidRPr="006A0197">
        <w:rPr>
          <w:noProof/>
          <w:color w:val="000000"/>
          <w:lang w:val="it-IT"/>
        </w:rPr>
        <w:t xml:space="preserve"> la </w:t>
      </w:r>
      <w:r>
        <w:rPr>
          <w:noProof/>
          <w:color w:val="000000"/>
          <w:lang w:val="it-IT"/>
        </w:rPr>
        <w:t>Tessera sanitaria oppure richiedere le credenziali SPID. Inoltre per consultare i documenti clinici è necessario attivare il Fascicolo sanitario Elettronico.</w:t>
      </w:r>
    </w:p>
    <w:p w14:paraId="0D7CE37F" w14:textId="54C23918" w:rsidR="006A0197" w:rsidRPr="006A0197" w:rsidRDefault="006A0197">
      <w:pPr>
        <w:numPr>
          <w:ilvl w:val="0"/>
          <w:numId w:val="10"/>
        </w:numPr>
        <w:pBdr>
          <w:top w:val="nil"/>
          <w:left w:val="nil"/>
          <w:bottom w:val="nil"/>
          <w:right w:val="nil"/>
          <w:between w:val="nil"/>
        </w:pBdr>
        <w:rPr>
          <w:b/>
          <w:noProof/>
          <w:color w:val="000000"/>
          <w:lang w:val="it-IT"/>
        </w:rPr>
      </w:pPr>
      <w:r w:rsidRPr="006A0197">
        <w:rPr>
          <w:b/>
          <w:noProof/>
          <w:color w:val="000000"/>
          <w:lang w:val="it-IT"/>
        </w:rPr>
        <w:t xml:space="preserve">APP HAPPpy Mamma-Applicazione sul percorso di gravidanza e nascita </w:t>
      </w:r>
    </w:p>
    <w:p w14:paraId="6A1E9671" w14:textId="442E9DFD" w:rsidR="009842E7" w:rsidRPr="008F1D37" w:rsidRDefault="006A0197" w:rsidP="006A0197">
      <w:pPr>
        <w:pBdr>
          <w:top w:val="nil"/>
          <w:left w:val="nil"/>
          <w:bottom w:val="nil"/>
          <w:right w:val="nil"/>
          <w:between w:val="nil"/>
        </w:pBdr>
        <w:ind w:left="1080"/>
        <w:rPr>
          <w:noProof/>
          <w:color w:val="000000"/>
          <w:lang w:val="it-IT"/>
        </w:rPr>
      </w:pPr>
      <w:r>
        <w:rPr>
          <w:noProof/>
          <w:lang w:val="it-IT"/>
        </w:rPr>
        <w:t xml:space="preserve">Link: </w:t>
      </w:r>
      <w:hyperlink r:id="rId37" w:anchor="/public/dashboard">
        <w:r w:rsidR="000512B4" w:rsidRPr="008F1D37">
          <w:rPr>
            <w:noProof/>
            <w:color w:val="0563C1"/>
            <w:u w:val="single"/>
            <w:lang w:val="it-IT"/>
          </w:rPr>
          <w:t>hAPPyMamma - Regione Toscana</w:t>
        </w:r>
      </w:hyperlink>
      <w:r w:rsidR="000512B4" w:rsidRPr="008F1D37">
        <w:rPr>
          <w:noProof/>
          <w:color w:val="0563C1"/>
          <w:u w:val="single"/>
          <w:lang w:val="it-IT"/>
        </w:rPr>
        <w:t xml:space="preserve"> </w:t>
      </w:r>
    </w:p>
    <w:p w14:paraId="39EE156D" w14:textId="039A6674" w:rsidR="006A0197" w:rsidRPr="006A0197" w:rsidRDefault="006A0197" w:rsidP="006A0197">
      <w:pPr>
        <w:rPr>
          <w:noProof/>
          <w:color w:val="000000"/>
          <w:lang w:val="it-IT"/>
        </w:rPr>
      </w:pPr>
      <w:r w:rsidRPr="006A0197">
        <w:rPr>
          <w:b/>
          <w:bCs/>
          <w:noProof/>
          <w:color w:val="000000"/>
          <w:lang w:val="it-IT"/>
        </w:rPr>
        <w:t>hAPPyMamma</w:t>
      </w:r>
      <w:r w:rsidRPr="006A0197">
        <w:rPr>
          <w:noProof/>
          <w:color w:val="000000"/>
          <w:lang w:val="it-IT"/>
        </w:rPr>
        <w:t> è un’</w:t>
      </w:r>
      <w:r w:rsidRPr="006A0197">
        <w:rPr>
          <w:b/>
          <w:bCs/>
          <w:noProof/>
          <w:color w:val="000000"/>
          <w:lang w:val="it-IT"/>
        </w:rPr>
        <w:t>applicazione sul percorso nascita</w:t>
      </w:r>
      <w:r w:rsidRPr="006A0197">
        <w:rPr>
          <w:noProof/>
          <w:color w:val="000000"/>
          <w:lang w:val="it-IT"/>
        </w:rPr>
        <w:t>, promossa dalla Regione Toscana come </w:t>
      </w:r>
      <w:r w:rsidRPr="006A0197">
        <w:rPr>
          <w:b/>
          <w:bCs/>
          <w:noProof/>
          <w:color w:val="000000"/>
          <w:lang w:val="it-IT"/>
        </w:rPr>
        <w:t>strumento per accompagnare le donne dall'inizio della gravidanza fino al primo anno di vita del bambino</w:t>
      </w:r>
      <w:r w:rsidRPr="006A0197">
        <w:rPr>
          <w:noProof/>
          <w:color w:val="000000"/>
          <w:lang w:val="it-IT"/>
        </w:rPr>
        <w:t>.  </w:t>
      </w:r>
    </w:p>
    <w:p w14:paraId="59006935" w14:textId="51F7104B" w:rsidR="006A0197" w:rsidRPr="006A0197" w:rsidRDefault="006A0197" w:rsidP="006A0197">
      <w:pPr>
        <w:rPr>
          <w:noProof/>
          <w:color w:val="000000"/>
          <w:lang w:val="it-IT"/>
        </w:rPr>
      </w:pPr>
      <w:r w:rsidRPr="006A0197">
        <w:rPr>
          <w:b/>
          <w:bCs/>
          <w:noProof/>
          <w:color w:val="000000"/>
          <w:lang w:val="it-IT"/>
        </w:rPr>
        <w:t>La App è attualmente disponibile per i sistemi Android e iOS.</w:t>
      </w:r>
      <w:r w:rsidRPr="006A0197">
        <w:rPr>
          <w:noProof/>
          <w:color w:val="000000"/>
          <w:lang w:val="it-IT"/>
        </w:rPr>
        <w:t> Tutti possono scaricarla gratuitamente ed accedere ai contenuti informativi senza registrazione. </w:t>
      </w:r>
    </w:p>
    <w:p w14:paraId="6A1E9673" w14:textId="00C50D5C" w:rsidR="009842E7" w:rsidRPr="008F1D37" w:rsidRDefault="006A0197" w:rsidP="0037195B">
      <w:pPr>
        <w:rPr>
          <w:noProof/>
          <w:color w:val="000000"/>
          <w:lang w:val="it-IT"/>
        </w:rPr>
      </w:pPr>
      <w:r w:rsidRPr="006A0197">
        <w:rPr>
          <w:noProof/>
          <w:color w:val="000000"/>
          <w:lang w:val="it-IT"/>
        </w:rPr>
        <w:t xml:space="preserve">Le funzionalità personalizzate della App sul percorso nascita sono accessibili alle donne che hanno attivato il libretto della gravidanza presso uno dei consultori delle Aziende sanitarie toscane. </w:t>
      </w:r>
    </w:p>
    <w:p w14:paraId="6A1E9674" w14:textId="7A2E4C0B" w:rsidR="009842E7" w:rsidRPr="008F1D37" w:rsidRDefault="000512B4">
      <w:pPr>
        <w:pStyle w:val="2"/>
        <w:spacing w:after="240"/>
        <w:jc w:val="center"/>
        <w:rPr>
          <w:noProof/>
          <w:u w:val="single"/>
          <w:lang w:val="it-IT"/>
        </w:rPr>
      </w:pPr>
      <w:bookmarkStart w:id="7" w:name="_Toc112418150"/>
      <w:r w:rsidRPr="008F1D37">
        <w:rPr>
          <w:noProof/>
          <w:u w:val="single"/>
          <w:lang w:val="it-IT"/>
        </w:rPr>
        <w:t xml:space="preserve">3. </w:t>
      </w:r>
      <w:r w:rsidR="0037195B">
        <w:rPr>
          <w:noProof/>
          <w:u w:val="single"/>
          <w:lang w:val="it-IT"/>
        </w:rPr>
        <w:t>Eserci</w:t>
      </w:r>
      <w:r w:rsidR="00CD0B6B">
        <w:rPr>
          <w:noProof/>
          <w:u w:val="single"/>
          <w:lang w:val="it-IT"/>
        </w:rPr>
        <w:t>tazione</w:t>
      </w:r>
      <w:r w:rsidR="0037195B">
        <w:rPr>
          <w:noProof/>
          <w:u w:val="single"/>
          <w:lang w:val="it-IT"/>
        </w:rPr>
        <w:t xml:space="preserve"> Pratic</w:t>
      </w:r>
      <w:r w:rsidR="00CD0B6B">
        <w:rPr>
          <w:noProof/>
          <w:u w:val="single"/>
          <w:lang w:val="it-IT"/>
        </w:rPr>
        <w:t>a</w:t>
      </w:r>
      <w:r w:rsidRPr="008F1D37">
        <w:rPr>
          <w:noProof/>
          <w:u w:val="single"/>
          <w:lang w:val="it-IT"/>
        </w:rPr>
        <w:t xml:space="preserve"> 5.4 </w:t>
      </w:r>
      <w:r w:rsidR="00CD0B6B">
        <w:rPr>
          <w:noProof/>
          <w:u w:val="single"/>
          <w:lang w:val="it-IT"/>
        </w:rPr>
        <w:t>-</w:t>
      </w:r>
      <w:r w:rsidR="0037195B">
        <w:rPr>
          <w:noProof/>
          <w:u w:val="single"/>
          <w:lang w:val="it-IT"/>
        </w:rPr>
        <w:t>Soluzioni</w:t>
      </w:r>
      <w:r w:rsidRPr="008F1D37">
        <w:rPr>
          <w:noProof/>
          <w:u w:val="single"/>
          <w:lang w:val="it-IT"/>
        </w:rPr>
        <w:t xml:space="preserve"> -Ital</w:t>
      </w:r>
      <w:r w:rsidR="00CD0B6B">
        <w:rPr>
          <w:noProof/>
          <w:u w:val="single"/>
          <w:lang w:val="it-IT"/>
        </w:rPr>
        <w:t>i</w:t>
      </w:r>
      <w:r w:rsidR="0037195B">
        <w:rPr>
          <w:noProof/>
          <w:u w:val="single"/>
          <w:lang w:val="it-IT"/>
        </w:rPr>
        <w:t>a</w:t>
      </w:r>
      <w:r w:rsidRPr="008F1D37">
        <w:rPr>
          <w:noProof/>
          <w:u w:val="single"/>
          <w:lang w:val="it-IT"/>
        </w:rPr>
        <w:t>-</w:t>
      </w:r>
      <w:bookmarkEnd w:id="7"/>
    </w:p>
    <w:p w14:paraId="5A8AE29B" w14:textId="229A8FB6" w:rsidR="0037195B" w:rsidRDefault="0037195B">
      <w:pPr>
        <w:rPr>
          <w:noProof/>
          <w:color w:val="000000"/>
          <w:lang w:val="it-IT"/>
        </w:rPr>
      </w:pPr>
      <w:r w:rsidRPr="0037195B">
        <w:rPr>
          <w:noProof/>
          <w:color w:val="000000"/>
          <w:lang w:val="it-IT"/>
        </w:rPr>
        <w:t>Di seguito viene illustrato il modo in cui i tirocinanti devono risolvere correttamente i diversi scenari previsti dall'Esercitazione Pratica 5.4 con i collegamenti al Sistema Sanitario Pubblico Italiano:</w:t>
      </w:r>
    </w:p>
    <w:p w14:paraId="1D61F42E" w14:textId="3F21AABC" w:rsidR="0037195B" w:rsidRPr="0037195B" w:rsidRDefault="000512B4" w:rsidP="0037195B">
      <w:pPr>
        <w:rPr>
          <w:noProof/>
          <w:color w:val="000000"/>
          <w:lang w:val="it-IT"/>
        </w:rPr>
      </w:pPr>
      <w:r w:rsidRPr="008F1D37">
        <w:rPr>
          <w:b/>
          <w:noProof/>
          <w:color w:val="000000"/>
          <w:lang w:val="it-IT"/>
        </w:rPr>
        <w:lastRenderedPageBreak/>
        <w:t>A</w:t>
      </w:r>
      <w:r w:rsidR="0037195B">
        <w:rPr>
          <w:b/>
          <w:noProof/>
          <w:color w:val="000000"/>
          <w:lang w:val="it-IT"/>
        </w:rPr>
        <w:t>ttività</w:t>
      </w:r>
      <w:r w:rsidRPr="008F1D37">
        <w:rPr>
          <w:b/>
          <w:noProof/>
          <w:color w:val="000000"/>
          <w:lang w:val="it-IT"/>
        </w:rPr>
        <w:t xml:space="preserve"> 1:</w:t>
      </w:r>
      <w:r w:rsidR="0037195B">
        <w:rPr>
          <w:b/>
          <w:noProof/>
          <w:color w:val="000000"/>
          <w:lang w:val="it-IT"/>
        </w:rPr>
        <w:t xml:space="preserve"> </w:t>
      </w:r>
      <w:r w:rsidR="0037195B" w:rsidRPr="0037195B">
        <w:rPr>
          <w:noProof/>
          <w:color w:val="000000"/>
          <w:lang w:val="it-IT"/>
        </w:rPr>
        <w:t>Il tirocinante deve accedere al portale del Ministero della Salute italiano e accedere, ad esempio, alle informazioni sul vaccino antinfluenzale (es.</w:t>
      </w:r>
      <w:r w:rsidR="0037195B" w:rsidRPr="0037195B">
        <w:rPr>
          <w:noProof/>
          <w:lang w:val="it-IT"/>
        </w:rPr>
        <w:t xml:space="preserve"> </w:t>
      </w:r>
      <w:hyperlink r:id="rId38">
        <w:r w:rsidR="0037195B" w:rsidRPr="008F1D37">
          <w:rPr>
            <w:noProof/>
            <w:color w:val="0563C1"/>
            <w:u w:val="single"/>
            <w:lang w:val="it-IT"/>
          </w:rPr>
          <w:t>Ministero della Salute</w:t>
        </w:r>
      </w:hyperlink>
      <w:r w:rsidR="0037195B" w:rsidRPr="0037195B">
        <w:rPr>
          <w:noProof/>
          <w:color w:val="000000"/>
          <w:lang w:val="it-IT"/>
        </w:rPr>
        <w:t xml:space="preserve">). </w:t>
      </w:r>
    </w:p>
    <w:p w14:paraId="6A1E9676" w14:textId="1453A010" w:rsidR="009842E7" w:rsidRPr="008F1D37" w:rsidRDefault="0037195B" w:rsidP="0037195B">
      <w:pPr>
        <w:rPr>
          <w:noProof/>
          <w:color w:val="000000"/>
          <w:lang w:val="it-IT"/>
        </w:rPr>
      </w:pPr>
      <w:r w:rsidRPr="0037195B">
        <w:rPr>
          <w:noProof/>
          <w:color w:val="000000"/>
          <w:lang w:val="it-IT"/>
        </w:rPr>
        <w:t xml:space="preserve">Allo stesso modo, attraverso la home page del portale del Ministero della Salute dedicato alla campagna vaccinale, i tirocinanti possono accedere alle pagine web con le informazioni relative alle vaccinazioni raccomandate per età, categoria e condizione personale (es. </w:t>
      </w:r>
      <w:hyperlink r:id="rId39">
        <w:r w:rsidRPr="008F1D37">
          <w:rPr>
            <w:noProof/>
            <w:color w:val="0563C1"/>
            <w:u w:val="single"/>
            <w:lang w:val="it-IT"/>
          </w:rPr>
          <w:t>Vaccinazioni (salute.gov.it)</w:t>
        </w:r>
      </w:hyperlink>
      <w:r>
        <w:rPr>
          <w:noProof/>
          <w:color w:val="000000"/>
          <w:lang w:val="it-IT"/>
        </w:rPr>
        <w:t>.</w:t>
      </w:r>
      <w:r w:rsidR="000512B4" w:rsidRPr="008F1D37">
        <w:rPr>
          <w:b/>
          <w:noProof/>
          <w:color w:val="000000"/>
          <w:lang w:val="it-IT"/>
        </w:rPr>
        <w:t xml:space="preserve"> </w:t>
      </w:r>
    </w:p>
    <w:p w14:paraId="6A1E9678" w14:textId="108BE05C" w:rsidR="009842E7" w:rsidRPr="008F1D37" w:rsidRDefault="000512B4">
      <w:pPr>
        <w:rPr>
          <w:b/>
          <w:noProof/>
          <w:color w:val="000000"/>
          <w:lang w:val="it-IT"/>
        </w:rPr>
      </w:pPr>
      <w:r w:rsidRPr="008F1D37">
        <w:rPr>
          <w:b/>
          <w:noProof/>
          <w:color w:val="000000"/>
          <w:lang w:val="it-IT"/>
        </w:rPr>
        <w:t>A</w:t>
      </w:r>
      <w:r w:rsidR="0037195B">
        <w:rPr>
          <w:b/>
          <w:noProof/>
          <w:color w:val="000000"/>
          <w:lang w:val="it-IT"/>
        </w:rPr>
        <w:t>ttività</w:t>
      </w:r>
      <w:r w:rsidRPr="008F1D37">
        <w:rPr>
          <w:b/>
          <w:noProof/>
          <w:color w:val="000000"/>
          <w:lang w:val="it-IT"/>
        </w:rPr>
        <w:t xml:space="preserve"> 2: </w:t>
      </w:r>
      <w:r w:rsidR="0037195B" w:rsidRPr="0037195B">
        <w:rPr>
          <w:noProof/>
          <w:color w:val="000000"/>
          <w:lang w:val="it-IT"/>
        </w:rPr>
        <w:t xml:space="preserve">I tirocinanti devono cercare informazioni attraverso il sito web - </w:t>
      </w:r>
      <w:hyperlink r:id="rId40">
        <w:r w:rsidR="0037195B" w:rsidRPr="008F1D37">
          <w:rPr>
            <w:noProof/>
            <w:color w:val="0563C1"/>
            <w:u w:val="single"/>
            <w:lang w:val="it-IT"/>
          </w:rPr>
          <w:t>Dona il sangue (salute.gov.it)</w:t>
        </w:r>
      </w:hyperlink>
      <w:r w:rsidR="0037195B" w:rsidRPr="0037195B">
        <w:rPr>
          <w:noProof/>
          <w:color w:val="000000"/>
          <w:lang w:val="it-IT"/>
        </w:rPr>
        <w:t xml:space="preserve"> con informazioni, video e ulteriori link sulle donazioni di sangue. Allo stesso modo possono confrontare le informazioni apprese visitando il sito della principale associazione che si occupa di questo tema a livello nazionale</w:t>
      </w:r>
      <w:r w:rsidR="0037195B">
        <w:rPr>
          <w:noProof/>
          <w:color w:val="000000"/>
          <w:lang w:val="it-IT"/>
        </w:rPr>
        <w:t>.</w:t>
      </w:r>
    </w:p>
    <w:p w14:paraId="6A1E9679" w14:textId="4B0BFB24" w:rsidR="009842E7" w:rsidRPr="008F1D37" w:rsidRDefault="000512B4">
      <w:pPr>
        <w:rPr>
          <w:noProof/>
          <w:color w:val="000000"/>
          <w:lang w:val="it-IT"/>
        </w:rPr>
      </w:pPr>
      <w:r w:rsidRPr="008F1D37">
        <w:rPr>
          <w:b/>
          <w:noProof/>
          <w:color w:val="000000"/>
          <w:lang w:val="it-IT"/>
        </w:rPr>
        <w:t>A</w:t>
      </w:r>
      <w:r w:rsidR="0037195B">
        <w:rPr>
          <w:b/>
          <w:noProof/>
          <w:color w:val="000000"/>
          <w:lang w:val="it-IT"/>
        </w:rPr>
        <w:t>ttività</w:t>
      </w:r>
      <w:r w:rsidRPr="008F1D37">
        <w:rPr>
          <w:b/>
          <w:noProof/>
          <w:color w:val="000000"/>
          <w:lang w:val="it-IT"/>
        </w:rPr>
        <w:t xml:space="preserve"> 3: </w:t>
      </w:r>
      <w:r w:rsidR="0037195B" w:rsidRPr="0037195B">
        <w:rPr>
          <w:noProof/>
          <w:color w:val="000000"/>
          <w:lang w:val="it-IT"/>
        </w:rPr>
        <w:t xml:space="preserve">Queste informazioni sono reperibili su diversi siti web (ad esempio, per la Regione Toscana: visitare il sito della Regione Toscana </w:t>
      </w:r>
      <w:hyperlink r:id="rId41">
        <w:r w:rsidR="0037195B" w:rsidRPr="008F1D37">
          <w:rPr>
            <w:noProof/>
            <w:color w:val="0563C1"/>
            <w:u w:val="single"/>
            <w:lang w:val="it-IT"/>
          </w:rPr>
          <w:t>Servizio Sanitario Toscana - Regione Toscana</w:t>
        </w:r>
      </w:hyperlink>
      <w:r w:rsidR="0037195B">
        <w:rPr>
          <w:noProof/>
          <w:color w:val="000000"/>
          <w:lang w:val="it-IT"/>
        </w:rPr>
        <w:t xml:space="preserve"> </w:t>
      </w:r>
      <w:r w:rsidR="0037195B" w:rsidRPr="0037195B">
        <w:rPr>
          <w:noProof/>
          <w:color w:val="000000"/>
          <w:lang w:val="it-IT"/>
        </w:rPr>
        <w:t xml:space="preserve">e scegliere l'area dell'Azienda Sanitaria Locale di interesse </w:t>
      </w:r>
      <w:hyperlink r:id="rId42">
        <w:r w:rsidR="0037195B" w:rsidRPr="008F1D37">
          <w:rPr>
            <w:noProof/>
            <w:color w:val="0563C1"/>
            <w:u w:val="single"/>
            <w:lang w:val="it-IT"/>
          </w:rPr>
          <w:t>Ospedali (uslcentro.toscana.it)</w:t>
        </w:r>
      </w:hyperlink>
      <w:r w:rsidR="0037195B">
        <w:rPr>
          <w:noProof/>
          <w:color w:val="0563C1"/>
          <w:u w:val="single"/>
          <w:lang w:val="it-IT"/>
        </w:rPr>
        <w:t>.</w:t>
      </w:r>
    </w:p>
    <w:p w14:paraId="6A1E967A" w14:textId="11F2E25F" w:rsidR="009842E7" w:rsidRPr="008F1D37" w:rsidRDefault="000512B4">
      <w:pPr>
        <w:rPr>
          <w:noProof/>
          <w:color w:val="000000"/>
          <w:lang w:val="it-IT"/>
        </w:rPr>
      </w:pPr>
      <w:r w:rsidRPr="008F1D37">
        <w:rPr>
          <w:b/>
          <w:noProof/>
          <w:color w:val="000000"/>
          <w:lang w:val="it-IT"/>
        </w:rPr>
        <w:t>A</w:t>
      </w:r>
      <w:r w:rsidR="0037195B">
        <w:rPr>
          <w:b/>
          <w:noProof/>
          <w:color w:val="000000"/>
          <w:lang w:val="it-IT"/>
        </w:rPr>
        <w:t>ttività 4</w:t>
      </w:r>
      <w:r w:rsidRPr="008F1D37">
        <w:rPr>
          <w:b/>
          <w:noProof/>
          <w:color w:val="000000"/>
          <w:lang w:val="it-IT"/>
        </w:rPr>
        <w:t xml:space="preserve">: </w:t>
      </w:r>
      <w:r w:rsidR="0037195B" w:rsidRPr="0037195B">
        <w:rPr>
          <w:noProof/>
          <w:color w:val="000000"/>
          <w:lang w:val="it-IT"/>
        </w:rPr>
        <w:t>Per fissare un appuntamento con un medico, quest'ultimo può essere contattato per telefono o per e-mail. Le modalità sono descritte nel modulo di formazione MIG-DHL</w:t>
      </w:r>
      <w:r w:rsidR="00CD0B6B">
        <w:rPr>
          <w:noProof/>
          <w:color w:val="000000"/>
          <w:lang w:val="it-IT"/>
        </w:rPr>
        <w:t xml:space="preserve"> n.6</w:t>
      </w:r>
      <w:r w:rsidR="0037195B" w:rsidRPr="0037195B">
        <w:rPr>
          <w:noProof/>
          <w:color w:val="000000"/>
          <w:lang w:val="it-IT"/>
        </w:rPr>
        <w:t>. Se il medico è iscritto a una società di servizi del settore sanitario, è possibile che l'associazione abbia sviluppato un'app di servizio da cui è possibile prenotare una visita (ad es</w:t>
      </w:r>
      <w:r w:rsidRPr="0037195B">
        <w:rPr>
          <w:noProof/>
          <w:color w:val="000000"/>
          <w:lang w:val="it-IT"/>
        </w:rPr>
        <w:t xml:space="preserve">. </w:t>
      </w:r>
      <w:hyperlink r:id="rId43">
        <w:r w:rsidRPr="0037195B">
          <w:rPr>
            <w:noProof/>
            <w:color w:val="0563C1"/>
            <w:u w:val="single"/>
            <w:lang w:val="it-IT"/>
          </w:rPr>
          <w:t>Home - ASSOMEDICA</w:t>
        </w:r>
      </w:hyperlink>
      <w:r w:rsidRPr="0037195B">
        <w:rPr>
          <w:noProof/>
          <w:lang w:val="it-IT"/>
        </w:rPr>
        <w:t>)</w:t>
      </w:r>
    </w:p>
    <w:p w14:paraId="31AECD8D" w14:textId="5EFB16B0" w:rsidR="0037195B" w:rsidRPr="0037195B" w:rsidRDefault="000512B4" w:rsidP="0037195B">
      <w:pPr>
        <w:rPr>
          <w:noProof/>
          <w:color w:val="000000"/>
          <w:lang w:val="it-IT"/>
        </w:rPr>
      </w:pPr>
      <w:r w:rsidRPr="008F1D37">
        <w:rPr>
          <w:b/>
          <w:noProof/>
          <w:color w:val="000000"/>
          <w:lang w:val="it-IT"/>
        </w:rPr>
        <w:t>A</w:t>
      </w:r>
      <w:r w:rsidR="0037195B">
        <w:rPr>
          <w:b/>
          <w:noProof/>
          <w:color w:val="000000"/>
          <w:lang w:val="it-IT"/>
        </w:rPr>
        <w:t>ttività</w:t>
      </w:r>
      <w:r w:rsidRPr="008F1D37">
        <w:rPr>
          <w:b/>
          <w:noProof/>
          <w:color w:val="000000"/>
          <w:lang w:val="it-IT"/>
        </w:rPr>
        <w:t xml:space="preserve"> 5: </w:t>
      </w:r>
      <w:r w:rsidR="0037195B" w:rsidRPr="0037195B">
        <w:rPr>
          <w:noProof/>
          <w:color w:val="000000"/>
          <w:lang w:val="it-IT"/>
        </w:rPr>
        <w:t>La risposta a questa domanda è di andare a prendere un appuntamento con un medico di medicina generale che, se necessario, indirizzerà il paziente a uno specialista o all'ospedale.</w:t>
      </w:r>
    </w:p>
    <w:p w14:paraId="1A106C59" w14:textId="77777777" w:rsidR="0037195B" w:rsidRPr="0037195B" w:rsidRDefault="0037195B" w:rsidP="0037195B">
      <w:pPr>
        <w:rPr>
          <w:noProof/>
          <w:color w:val="000000"/>
          <w:lang w:val="it-IT"/>
        </w:rPr>
      </w:pPr>
      <w:r w:rsidRPr="0037195B">
        <w:rPr>
          <w:b/>
          <w:noProof/>
          <w:color w:val="000000"/>
          <w:lang w:val="it-IT"/>
        </w:rPr>
        <w:t>Attività 6:</w:t>
      </w:r>
      <w:r w:rsidRPr="0037195B">
        <w:rPr>
          <w:noProof/>
          <w:color w:val="000000"/>
          <w:lang w:val="it-IT"/>
        </w:rPr>
        <w:t xml:space="preserve"> La risposta a questa domanda è di prendere un appuntamento con il proprio dentista o di recarsi da un dentista di emergenza. I dentisti di emergenza sono disponibili nelle grandi città, di solito in collegamento con gli ospedali universitari. Non è necessario prendere un appuntamento per recarsi da loro. Nei piccoli centri o nelle zone rurali, ci sono servizi di emergenza nei fine settimana o di notte che possono essere contattati tramite i numeri di emergenza.</w:t>
      </w:r>
    </w:p>
    <w:p w14:paraId="6A1E967D" w14:textId="7740A859" w:rsidR="009842E7" w:rsidRDefault="0037195B" w:rsidP="0037195B">
      <w:pPr>
        <w:rPr>
          <w:noProof/>
          <w:color w:val="000000"/>
          <w:lang w:val="it-IT"/>
        </w:rPr>
      </w:pPr>
      <w:r w:rsidRPr="0037195B">
        <w:rPr>
          <w:b/>
          <w:noProof/>
          <w:color w:val="000000"/>
          <w:lang w:val="it-IT"/>
        </w:rPr>
        <w:lastRenderedPageBreak/>
        <w:t>Attività 7:</w:t>
      </w:r>
      <w:r w:rsidRPr="0037195B">
        <w:rPr>
          <w:noProof/>
          <w:color w:val="000000"/>
          <w:lang w:val="it-IT"/>
        </w:rPr>
        <w:t xml:space="preserve"> Per quanto riguarda l'assistenza psicologica tramite l'assicurazione sanitaria, la procedura consiste nel fissare un appuntamento con il medico di famiglia e discutere la propria situazione in modo che possa prendere in considerazione la possibilità di rivolgersi a uno psicologo clinico. Se il medico di famiglia lo ritiene opportuno, vi indirizzerà a uno psicologo o a uno psichiatra.  </w:t>
      </w:r>
    </w:p>
    <w:p w14:paraId="6A1E96CA" w14:textId="05D0FDFD" w:rsidR="009842E7" w:rsidRPr="008F1D37" w:rsidRDefault="0037195B" w:rsidP="00CD0B6B">
      <w:pPr>
        <w:rPr>
          <w:noProof/>
          <w:color w:val="2F5496"/>
          <w:sz w:val="32"/>
          <w:szCs w:val="32"/>
          <w:lang w:val="it-IT"/>
        </w:rPr>
      </w:pPr>
      <w:r w:rsidRPr="0037195B">
        <w:rPr>
          <w:b/>
          <w:noProof/>
          <w:color w:val="000000"/>
          <w:lang w:val="it-IT"/>
        </w:rPr>
        <w:t>Attività 8:</w:t>
      </w:r>
      <w:r w:rsidRPr="0037195B">
        <w:rPr>
          <w:noProof/>
          <w:color w:val="000000"/>
          <w:lang w:val="it-IT"/>
        </w:rPr>
        <w:t xml:space="preserve"> Le farmacie sono solitamente identificate su mappe digitali come Google Maps. Esistono anche siti web come </w:t>
      </w:r>
      <w:hyperlink r:id="rId44">
        <w:r w:rsidRPr="008F1D37">
          <w:rPr>
            <w:noProof/>
            <w:color w:val="0563C1"/>
            <w:u w:val="single"/>
            <w:lang w:val="it-IT"/>
          </w:rPr>
          <w:t>FARMACIA DI TURNO - Sito Ufficiale</w:t>
        </w:r>
      </w:hyperlink>
      <w:r w:rsidRPr="0037195B">
        <w:rPr>
          <w:noProof/>
          <w:color w:val="000000"/>
          <w:lang w:val="it-IT"/>
        </w:rPr>
        <w:t xml:space="preserve"> e app con servizi di localizzazione delle farmacie e l'indicazione di altri servizi sanitari.</w:t>
      </w:r>
      <w:bookmarkStart w:id="8" w:name="_heading=h.44sinio" w:colFirst="0" w:colLast="0"/>
      <w:bookmarkStart w:id="9" w:name="_heading=h.1fob9te" w:colFirst="0" w:colLast="0"/>
      <w:bookmarkStart w:id="10" w:name="_heading=h.aynqd4jn94m6" w:colFirst="0" w:colLast="0"/>
      <w:bookmarkEnd w:id="8"/>
      <w:bookmarkEnd w:id="9"/>
      <w:bookmarkEnd w:id="10"/>
    </w:p>
    <w:sectPr w:rsidR="009842E7" w:rsidRPr="008F1D37">
      <w:footerReference w:type="default" r:id="rId45"/>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57120" w14:textId="77777777" w:rsidR="00296F0B" w:rsidRDefault="00296F0B">
      <w:pPr>
        <w:spacing w:after="0" w:line="240" w:lineRule="auto"/>
      </w:pPr>
      <w:r>
        <w:separator/>
      </w:r>
    </w:p>
  </w:endnote>
  <w:endnote w:type="continuationSeparator" w:id="0">
    <w:p w14:paraId="09B35856" w14:textId="77777777" w:rsidR="00296F0B" w:rsidRDefault="00296F0B">
      <w:pPr>
        <w:spacing w:after="0" w:line="240" w:lineRule="auto"/>
      </w:pPr>
      <w:r>
        <w:continuationSeparator/>
      </w:r>
    </w:p>
  </w:endnote>
  <w:endnote w:type="continuationNotice" w:id="1">
    <w:p w14:paraId="6E2F5E20" w14:textId="77777777" w:rsidR="00296F0B" w:rsidRDefault="00296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6625" w14:textId="77777777" w:rsidR="00992D15" w:rsidRDefault="00992D15">
    <w:pPr>
      <w:pBdr>
        <w:top w:val="nil"/>
        <w:left w:val="nil"/>
        <w:bottom w:val="nil"/>
        <w:right w:val="nil"/>
        <w:between w:val="nil"/>
      </w:pBdr>
      <w:tabs>
        <w:tab w:val="center" w:pos="4536"/>
        <w:tab w:val="right" w:pos="9072"/>
      </w:tabs>
      <w:spacing w:after="0" w:line="240" w:lineRule="auto"/>
      <w:rPr>
        <w:color w:val="000000"/>
      </w:rPr>
    </w:pPr>
  </w:p>
  <w:p w14:paraId="2A108F9B" w14:textId="77777777" w:rsidR="00992D15" w:rsidRDefault="00992D15">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6E4" w14:textId="2EB6DDCF" w:rsidR="009842E7" w:rsidRDefault="000512B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A1E96E5" w14:textId="77777777" w:rsidR="009842E7" w:rsidRDefault="000512B4">
    <w:pPr>
      <w:pBdr>
        <w:top w:val="nil"/>
        <w:left w:val="nil"/>
        <w:bottom w:val="nil"/>
        <w:right w:val="nil"/>
        <w:between w:val="nil"/>
      </w:pBdr>
      <w:tabs>
        <w:tab w:val="center" w:pos="4536"/>
        <w:tab w:val="right" w:pos="9072"/>
      </w:tabs>
      <w:spacing w:after="0" w:line="240" w:lineRule="auto"/>
      <w:rPr>
        <w:color w:val="000000"/>
        <w:sz w:val="16"/>
        <w:szCs w:val="16"/>
      </w:rPr>
    </w:pPr>
    <w:r>
      <w:rPr>
        <w:color w:val="000000"/>
      </w:rPr>
      <w:tab/>
    </w:r>
    <w:r>
      <w:rPr>
        <w:color w:val="000000"/>
        <w:sz w:val="16"/>
        <w:szCs w:val="16"/>
      </w:rPr>
      <w:t>Contract No. 2020-1-DE02-KA204-007679</w:t>
    </w:r>
  </w:p>
  <w:p w14:paraId="6A1E96E6" w14:textId="77777777" w:rsidR="009842E7" w:rsidRDefault="009842E7">
    <w:pPr>
      <w:pBdr>
        <w:top w:val="nil"/>
        <w:left w:val="nil"/>
        <w:bottom w:val="nil"/>
        <w:right w:val="nil"/>
        <w:between w:val="nil"/>
      </w:pBdr>
      <w:tabs>
        <w:tab w:val="left" w:pos="271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4D60" w14:textId="77777777" w:rsidR="00296F0B" w:rsidRDefault="00296F0B">
      <w:pPr>
        <w:spacing w:after="0" w:line="240" w:lineRule="auto"/>
      </w:pPr>
      <w:r>
        <w:separator/>
      </w:r>
    </w:p>
  </w:footnote>
  <w:footnote w:type="continuationSeparator" w:id="0">
    <w:p w14:paraId="4E5E9D28" w14:textId="77777777" w:rsidR="00296F0B" w:rsidRDefault="00296F0B">
      <w:pPr>
        <w:spacing w:after="0" w:line="240" w:lineRule="auto"/>
      </w:pPr>
      <w:r>
        <w:continuationSeparator/>
      </w:r>
    </w:p>
  </w:footnote>
  <w:footnote w:type="continuationNotice" w:id="1">
    <w:p w14:paraId="41B19122" w14:textId="77777777" w:rsidR="00296F0B" w:rsidRDefault="00296F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D4C9" w14:textId="77777777" w:rsidR="00992D15" w:rsidRPr="005E3A46" w:rsidRDefault="00992D15" w:rsidP="005E3A46">
    <w:pPr>
      <w:ind w:left="-284"/>
      <w:rPr>
        <w:b/>
        <w:i/>
      </w:rPr>
    </w:pPr>
    <w:r>
      <w:rPr>
        <w:noProof/>
      </w:rPr>
      <w:drawing>
        <wp:inline distT="0" distB="0" distL="0" distR="0" wp14:anchorId="408E72F2" wp14:editId="33DC928B">
          <wp:extent cx="2070100" cy="574006"/>
          <wp:effectExtent l="0" t="0" r="0" b="0"/>
          <wp:docPr id="1" name="image4.png" descr="Logo EU Erasmus+"/>
          <wp:cNvGraphicFramePr/>
          <a:graphic xmlns:a="http://schemas.openxmlformats.org/drawingml/2006/main">
            <a:graphicData uri="http://schemas.openxmlformats.org/drawingml/2006/picture">
              <pic:pic xmlns:pic="http://schemas.openxmlformats.org/drawingml/2006/picture">
                <pic:nvPicPr>
                  <pic:cNvPr id="0" name="image4.png" descr="Logo EU Erasmus+"/>
                  <pic:cNvPicPr preferRelativeResize="0"/>
                </pic:nvPicPr>
                <pic:blipFill>
                  <a:blip r:embed="rId1"/>
                  <a:srcRect/>
                  <a:stretch>
                    <a:fillRect/>
                  </a:stretch>
                </pic:blipFill>
                <pic:spPr>
                  <a:xfrm>
                    <a:off x="0" y="0"/>
                    <a:ext cx="2150874" cy="596403"/>
                  </a:xfrm>
                  <a:prstGeom prst="rect">
                    <a:avLst/>
                  </a:prstGeom>
                  <a:ln/>
                </pic:spPr>
              </pic:pic>
            </a:graphicData>
          </a:graphic>
        </wp:inline>
      </w:drawing>
    </w:r>
    <w:r>
      <w:t xml:space="preserve">                                       </w:t>
    </w:r>
    <w:r>
      <w:rPr>
        <w:noProof/>
      </w:rPr>
      <w:drawing>
        <wp:inline distT="0" distB="0" distL="0" distR="0" wp14:anchorId="2FEEB62A" wp14:editId="73CF30A9">
          <wp:extent cx="1924050" cy="584200"/>
          <wp:effectExtent l="0" t="0" r="0" b="6350"/>
          <wp:docPr id="4" name="Immagine 4"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84200"/>
                  </a:xfrm>
                  <a:prstGeom prst="rect">
                    <a:avLst/>
                  </a:prstGeom>
                  <a:noFill/>
                  <a:ln>
                    <a:noFill/>
                  </a:ln>
                </pic:spPr>
              </pic:pic>
            </a:graphicData>
          </a:graphic>
        </wp:inline>
      </w:drawing>
    </w:r>
    <w:r>
      <w:br/>
    </w:r>
    <w:r>
      <w:rPr>
        <w:b/>
        <w:i/>
      </w:rPr>
      <w:t xml:space="preserve">    </w:t>
    </w:r>
    <w:proofErr w:type="spellStart"/>
    <w:r>
      <w:rPr>
        <w:b/>
        <w:i/>
      </w:rPr>
      <w:t>Contratto</w:t>
    </w:r>
    <w:proofErr w:type="spellEnd"/>
    <w:r>
      <w:rPr>
        <w:b/>
        <w:i/>
      </w:rPr>
      <w:t xml:space="preserve"> n. 2020-1-DE02-KA204-007679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5692"/>
    <w:multiLevelType w:val="multilevel"/>
    <w:tmpl w:val="F3B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31FAC"/>
    <w:multiLevelType w:val="multilevel"/>
    <w:tmpl w:val="64928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C410EA"/>
    <w:multiLevelType w:val="multilevel"/>
    <w:tmpl w:val="1040A5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A701F"/>
    <w:multiLevelType w:val="multilevel"/>
    <w:tmpl w:val="58EE0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C87A57"/>
    <w:multiLevelType w:val="multilevel"/>
    <w:tmpl w:val="4CAE1D36"/>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1B58CE"/>
    <w:multiLevelType w:val="multilevel"/>
    <w:tmpl w:val="512A1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081685"/>
    <w:multiLevelType w:val="hybridMultilevel"/>
    <w:tmpl w:val="30CC7F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AD1711"/>
    <w:multiLevelType w:val="multilevel"/>
    <w:tmpl w:val="44D4E72E"/>
    <w:lvl w:ilvl="0">
      <w:start w:val="1"/>
      <w:numFmt w:val="bullet"/>
      <w:lvlText w:val="●"/>
      <w:lvlJc w:val="left"/>
      <w:pPr>
        <w:ind w:left="1080" w:hanging="360"/>
      </w:pPr>
      <w:rPr>
        <w:rFonts w:ascii="Noto Sans Symbols" w:eastAsia="Noto Sans Symbols" w:hAnsi="Noto Sans Symbols" w:cs="Noto Sans Symbols"/>
        <w:sz w:val="20"/>
        <w:szCs w:val="20"/>
      </w:rPr>
    </w:lvl>
    <w:lvl w:ilv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9" w15:restartNumberingAfterBreak="0">
    <w:nsid w:val="501A49D7"/>
    <w:multiLevelType w:val="multilevel"/>
    <w:tmpl w:val="F05CB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1844CBD"/>
    <w:multiLevelType w:val="multilevel"/>
    <w:tmpl w:val="5D3E8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D5295D"/>
    <w:multiLevelType w:val="multilevel"/>
    <w:tmpl w:val="27A8B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FB47E0"/>
    <w:multiLevelType w:val="multilevel"/>
    <w:tmpl w:val="38F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7A65EC"/>
    <w:multiLevelType w:val="multilevel"/>
    <w:tmpl w:val="BF54A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CAE01F4"/>
    <w:multiLevelType w:val="multilevel"/>
    <w:tmpl w:val="54942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38810244">
    <w:abstractNumId w:val="4"/>
  </w:num>
  <w:num w:numId="2" w16cid:durableId="979115205">
    <w:abstractNumId w:val="10"/>
  </w:num>
  <w:num w:numId="3" w16cid:durableId="1328485345">
    <w:abstractNumId w:val="6"/>
  </w:num>
  <w:num w:numId="4" w16cid:durableId="761948862">
    <w:abstractNumId w:val="5"/>
  </w:num>
  <w:num w:numId="5" w16cid:durableId="88236113">
    <w:abstractNumId w:val="11"/>
  </w:num>
  <w:num w:numId="6" w16cid:durableId="1327785125">
    <w:abstractNumId w:val="14"/>
  </w:num>
  <w:num w:numId="7" w16cid:durableId="1656102880">
    <w:abstractNumId w:val="13"/>
  </w:num>
  <w:num w:numId="8" w16cid:durableId="1975788901">
    <w:abstractNumId w:val="9"/>
  </w:num>
  <w:num w:numId="9" w16cid:durableId="156920519">
    <w:abstractNumId w:val="1"/>
  </w:num>
  <w:num w:numId="10" w16cid:durableId="361250287">
    <w:abstractNumId w:val="8"/>
  </w:num>
  <w:num w:numId="11" w16cid:durableId="186675077">
    <w:abstractNumId w:val="2"/>
  </w:num>
  <w:num w:numId="12" w16cid:durableId="1628706097">
    <w:abstractNumId w:val="3"/>
  </w:num>
  <w:num w:numId="13" w16cid:durableId="706490744">
    <w:abstractNumId w:val="7"/>
  </w:num>
  <w:num w:numId="14" w16cid:durableId="657461793">
    <w:abstractNumId w:val="0"/>
  </w:num>
  <w:num w:numId="15" w16cid:durableId="1442458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E7"/>
    <w:rsid w:val="000368AF"/>
    <w:rsid w:val="000512B4"/>
    <w:rsid w:val="00125E97"/>
    <w:rsid w:val="00296F0B"/>
    <w:rsid w:val="002A3046"/>
    <w:rsid w:val="00326482"/>
    <w:rsid w:val="0037195B"/>
    <w:rsid w:val="00423689"/>
    <w:rsid w:val="004464C3"/>
    <w:rsid w:val="00492350"/>
    <w:rsid w:val="004D3410"/>
    <w:rsid w:val="00522F3B"/>
    <w:rsid w:val="006A0197"/>
    <w:rsid w:val="006D218B"/>
    <w:rsid w:val="007917D3"/>
    <w:rsid w:val="00865D05"/>
    <w:rsid w:val="00866507"/>
    <w:rsid w:val="0088580E"/>
    <w:rsid w:val="008F1D37"/>
    <w:rsid w:val="00944ADA"/>
    <w:rsid w:val="009842E7"/>
    <w:rsid w:val="00992D15"/>
    <w:rsid w:val="009D2805"/>
    <w:rsid w:val="00CD0B6B"/>
    <w:rsid w:val="00D265FF"/>
    <w:rsid w:val="00D5292B"/>
    <w:rsid w:val="00D74BEE"/>
    <w:rsid w:val="00DC6C98"/>
    <w:rsid w:val="00F12F2B"/>
    <w:rsid w:val="00FF3B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9586"/>
  <w15:docId w15:val="{7249ED00-26F2-4561-8196-7D1B404A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l-GR"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CAA"/>
  </w:style>
  <w:style w:type="paragraph" w:styleId="1">
    <w:name w:val="heading 1"/>
    <w:aliases w:val="Heading 1"/>
    <w:basedOn w:val="a"/>
    <w:next w:val="a"/>
    <w:link w:val="1Char"/>
    <w:uiPriority w:val="9"/>
    <w:qFormat/>
    <w:rsid w:val="000A67C3"/>
    <w:pPr>
      <w:keepNext/>
      <w:keepLines/>
      <w:spacing w:before="240" w:after="0"/>
      <w:jc w:val="center"/>
      <w:outlineLvl w:val="0"/>
    </w:pPr>
    <w:rPr>
      <w:rFonts w:eastAsiaTheme="majorEastAsia" w:cstheme="majorBidi"/>
      <w:b/>
      <w:szCs w:val="32"/>
    </w:rPr>
  </w:style>
  <w:style w:type="paragraph" w:styleId="2">
    <w:name w:val="heading 2"/>
    <w:aliases w:val="Heading 2"/>
    <w:basedOn w:val="a"/>
    <w:next w:val="a"/>
    <w:link w:val="2Char"/>
    <w:uiPriority w:val="9"/>
    <w:unhideWhenUsed/>
    <w:qFormat/>
    <w:rsid w:val="000A67C3"/>
    <w:pPr>
      <w:keepNext/>
      <w:keepLines/>
      <w:spacing w:before="40" w:after="0"/>
      <w:jc w:val="left"/>
      <w:outlineLvl w:val="1"/>
    </w:pPr>
    <w:rPr>
      <w:rFonts w:eastAsiaTheme="majorEastAsia" w:cstheme="majorBidi"/>
      <w:b/>
      <w:szCs w:val="26"/>
    </w:rPr>
  </w:style>
  <w:style w:type="paragraph" w:styleId="3">
    <w:name w:val="heading 3"/>
    <w:basedOn w:val="a"/>
    <w:next w:val="a"/>
    <w:uiPriority w:val="9"/>
    <w:semiHidden/>
    <w:unhideWhenUsed/>
    <w:qFormat/>
    <w:rsid w:val="005B068E"/>
    <w:pPr>
      <w:keepNext/>
      <w:keepLines/>
      <w:spacing w:before="280" w:after="80"/>
      <w:outlineLvl w:val="2"/>
    </w:pPr>
    <w:rPr>
      <w:i/>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heading 3"/>
    <w:basedOn w:val="a"/>
    <w:next w:val="a"/>
    <w:link w:val="Char"/>
    <w:uiPriority w:val="10"/>
    <w:qFormat/>
    <w:rsid w:val="000A67C3"/>
    <w:pPr>
      <w:spacing w:after="0" w:line="240" w:lineRule="auto"/>
      <w:contextualSpacing/>
      <w:jc w:val="left"/>
    </w:pPr>
    <w:rPr>
      <w:rFonts w:eastAsiaTheme="majorEastAsia" w:cstheme="majorBidi"/>
      <w:i/>
      <w:spacing w:val="-10"/>
      <w:kern w:val="28"/>
      <w:szCs w:val="56"/>
    </w:rPr>
  </w:style>
  <w:style w:type="table" w:customStyle="1" w:styleId="TableNormal0">
    <w:name w:val="Table Normal"/>
    <w:tblPr>
      <w:tblCellMar>
        <w:top w:w="0" w:type="dxa"/>
        <w:left w:w="0" w:type="dxa"/>
        <w:bottom w:w="0" w:type="dxa"/>
        <w:right w:w="0" w:type="dxa"/>
      </w:tblCellMar>
    </w:tblPr>
  </w:style>
  <w:style w:type="character" w:customStyle="1" w:styleId="1Char">
    <w:name w:val="Επικεφαλίδα 1 Char"/>
    <w:aliases w:val="Heading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aliases w:val="Heading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 w:type="paragraph" w:styleId="30">
    <w:name w:val="toc 3"/>
    <w:basedOn w:val="a"/>
    <w:next w:val="a"/>
    <w:autoRedefine/>
    <w:uiPriority w:val="39"/>
    <w:unhideWhenUsed/>
    <w:rsid w:val="005B068E"/>
    <w:pPr>
      <w:spacing w:after="100"/>
      <w:ind w:left="480"/>
    </w:pPr>
  </w:style>
  <w:style w:type="character" w:customStyle="1" w:styleId="Char2">
    <w:name w:val="Παράγραφος λίστας Char"/>
    <w:basedOn w:val="a0"/>
    <w:link w:val="a6"/>
    <w:uiPriority w:val="34"/>
    <w:rsid w:val="006F0439"/>
    <w:rPr>
      <w:sz w:val="24"/>
    </w:rPr>
  </w:style>
  <w:style w:type="table" w:styleId="ae">
    <w:name w:val="Table Grid"/>
    <w:basedOn w:val="a1"/>
    <w:uiPriority w:val="39"/>
    <w:rsid w:val="00885C91"/>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885C91"/>
    <w:pPr>
      <w:spacing w:before="100" w:beforeAutospacing="1" w:after="100" w:afterAutospacing="1" w:line="312" w:lineRule="auto"/>
    </w:pPr>
    <w:rPr>
      <w:rFonts w:eastAsiaTheme="minorHAnsi" w:cs="Consolas"/>
      <w:bCs/>
      <w:sz w:val="22"/>
      <w:szCs w:val="21"/>
      <w:lang w:eastAsia="en-US"/>
    </w:rPr>
  </w:style>
  <w:style w:type="character" w:customStyle="1" w:styleId="Char6">
    <w:name w:val="Απλό κείμενο Char"/>
    <w:basedOn w:val="a0"/>
    <w:link w:val="af"/>
    <w:uiPriority w:val="99"/>
    <w:rsid w:val="00885C91"/>
    <w:rPr>
      <w:rFonts w:eastAsiaTheme="minorHAnsi" w:cs="Consolas"/>
      <w:bCs/>
      <w:szCs w:val="21"/>
      <w:lang w:eastAsia="en-US"/>
    </w:rPr>
  </w:style>
  <w:style w:type="table" w:customStyle="1" w:styleId="af0">
    <w:basedOn w:val="TableNormal0"/>
    <w:pPr>
      <w:spacing w:after="0" w:line="240" w:lineRule="auto"/>
      <w:jc w:val="left"/>
    </w:pPr>
    <w:tblPr>
      <w:tblStyleRowBandSize w:val="1"/>
      <w:tblStyleColBandSize w:val="1"/>
      <w:tblCellMar>
        <w:left w:w="108" w:type="dxa"/>
        <w:right w:w="108" w:type="dxa"/>
      </w:tblCellMar>
    </w:tblPr>
  </w:style>
  <w:style w:type="table" w:customStyle="1" w:styleId="af1">
    <w:basedOn w:val="TableNormal0"/>
    <w:pPr>
      <w:spacing w:after="0" w:line="240" w:lineRule="auto"/>
      <w:jc w:val="left"/>
    </w:pPr>
    <w:tblPr>
      <w:tblStyleRowBandSize w:val="1"/>
      <w:tblStyleColBandSize w:val="1"/>
      <w:tblCellMar>
        <w:left w:w="108" w:type="dxa"/>
        <w:right w:w="108" w:type="dxa"/>
      </w:tblCellMar>
    </w:tblPr>
  </w:style>
  <w:style w:type="character" w:styleId="af2">
    <w:name w:val="Unresolved Mention"/>
    <w:basedOn w:val="a0"/>
    <w:uiPriority w:val="99"/>
    <w:semiHidden/>
    <w:unhideWhenUsed/>
    <w:rsid w:val="00125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6621">
      <w:bodyDiv w:val="1"/>
      <w:marLeft w:val="0"/>
      <w:marRight w:val="0"/>
      <w:marTop w:val="0"/>
      <w:marBottom w:val="0"/>
      <w:divBdr>
        <w:top w:val="none" w:sz="0" w:space="0" w:color="auto"/>
        <w:left w:val="none" w:sz="0" w:space="0" w:color="auto"/>
        <w:bottom w:val="none" w:sz="0" w:space="0" w:color="auto"/>
        <w:right w:val="none" w:sz="0" w:space="0" w:color="auto"/>
      </w:divBdr>
    </w:div>
    <w:div w:id="787165804">
      <w:bodyDiv w:val="1"/>
      <w:marLeft w:val="0"/>
      <w:marRight w:val="0"/>
      <w:marTop w:val="0"/>
      <w:marBottom w:val="0"/>
      <w:divBdr>
        <w:top w:val="none" w:sz="0" w:space="0" w:color="auto"/>
        <w:left w:val="none" w:sz="0" w:space="0" w:color="auto"/>
        <w:bottom w:val="none" w:sz="0" w:space="0" w:color="auto"/>
        <w:right w:val="none" w:sz="0" w:space="0" w:color="auto"/>
      </w:divBdr>
      <w:divsChild>
        <w:div w:id="1565675812">
          <w:marLeft w:val="0"/>
          <w:marRight w:val="0"/>
          <w:marTop w:val="0"/>
          <w:marBottom w:val="0"/>
          <w:divBdr>
            <w:top w:val="none" w:sz="0" w:space="0" w:color="auto"/>
            <w:left w:val="none" w:sz="0" w:space="0" w:color="auto"/>
            <w:bottom w:val="none" w:sz="0" w:space="0" w:color="auto"/>
            <w:right w:val="none" w:sz="0" w:space="0" w:color="auto"/>
          </w:divBdr>
        </w:div>
        <w:div w:id="2104377507">
          <w:marLeft w:val="0"/>
          <w:marRight w:val="0"/>
          <w:marTop w:val="0"/>
          <w:marBottom w:val="0"/>
          <w:divBdr>
            <w:top w:val="none" w:sz="0" w:space="0" w:color="auto"/>
            <w:left w:val="none" w:sz="0" w:space="0" w:color="auto"/>
            <w:bottom w:val="none" w:sz="0" w:space="0" w:color="auto"/>
            <w:right w:val="none" w:sz="0" w:space="0" w:color="auto"/>
          </w:divBdr>
        </w:div>
        <w:div w:id="1133138778">
          <w:marLeft w:val="0"/>
          <w:marRight w:val="0"/>
          <w:marTop w:val="0"/>
          <w:marBottom w:val="0"/>
          <w:divBdr>
            <w:top w:val="none" w:sz="0" w:space="0" w:color="auto"/>
            <w:left w:val="none" w:sz="0" w:space="0" w:color="auto"/>
            <w:bottom w:val="none" w:sz="0" w:space="0" w:color="auto"/>
            <w:right w:val="none" w:sz="0" w:space="0" w:color="auto"/>
          </w:divBdr>
        </w:div>
        <w:div w:id="1223255552">
          <w:marLeft w:val="0"/>
          <w:marRight w:val="0"/>
          <w:marTop w:val="0"/>
          <w:marBottom w:val="0"/>
          <w:divBdr>
            <w:top w:val="none" w:sz="0" w:space="0" w:color="auto"/>
            <w:left w:val="none" w:sz="0" w:space="0" w:color="auto"/>
            <w:bottom w:val="none" w:sz="0" w:space="0" w:color="auto"/>
            <w:right w:val="none" w:sz="0" w:space="0" w:color="auto"/>
          </w:divBdr>
        </w:div>
        <w:div w:id="875234180">
          <w:marLeft w:val="0"/>
          <w:marRight w:val="0"/>
          <w:marTop w:val="0"/>
          <w:marBottom w:val="0"/>
          <w:divBdr>
            <w:top w:val="none" w:sz="0" w:space="0" w:color="auto"/>
            <w:left w:val="none" w:sz="0" w:space="0" w:color="auto"/>
            <w:bottom w:val="none" w:sz="0" w:space="0" w:color="auto"/>
            <w:right w:val="none" w:sz="0" w:space="0" w:color="auto"/>
          </w:divBdr>
        </w:div>
        <w:div w:id="1778065573">
          <w:marLeft w:val="0"/>
          <w:marRight w:val="0"/>
          <w:marTop w:val="0"/>
          <w:marBottom w:val="0"/>
          <w:divBdr>
            <w:top w:val="none" w:sz="0" w:space="0" w:color="auto"/>
            <w:left w:val="none" w:sz="0" w:space="0" w:color="auto"/>
            <w:bottom w:val="none" w:sz="0" w:space="0" w:color="auto"/>
            <w:right w:val="none" w:sz="0" w:space="0" w:color="auto"/>
          </w:divBdr>
        </w:div>
        <w:div w:id="1928802621">
          <w:marLeft w:val="0"/>
          <w:marRight w:val="0"/>
          <w:marTop w:val="0"/>
          <w:marBottom w:val="0"/>
          <w:divBdr>
            <w:top w:val="none" w:sz="0" w:space="0" w:color="auto"/>
            <w:left w:val="none" w:sz="0" w:space="0" w:color="auto"/>
            <w:bottom w:val="none" w:sz="0" w:space="0" w:color="auto"/>
            <w:right w:val="none" w:sz="0" w:space="0" w:color="auto"/>
          </w:divBdr>
          <w:divsChild>
            <w:div w:id="1552694980">
              <w:marLeft w:val="0"/>
              <w:marRight w:val="0"/>
              <w:marTop w:val="0"/>
              <w:marBottom w:val="0"/>
              <w:divBdr>
                <w:top w:val="none" w:sz="0" w:space="0" w:color="auto"/>
                <w:left w:val="none" w:sz="0" w:space="0" w:color="auto"/>
                <w:bottom w:val="none" w:sz="0" w:space="0" w:color="auto"/>
                <w:right w:val="none" w:sz="0" w:space="0" w:color="auto"/>
              </w:divBdr>
            </w:div>
          </w:divsChild>
        </w:div>
        <w:div w:id="126822815">
          <w:marLeft w:val="0"/>
          <w:marRight w:val="0"/>
          <w:marTop w:val="0"/>
          <w:marBottom w:val="0"/>
          <w:divBdr>
            <w:top w:val="none" w:sz="0" w:space="0" w:color="auto"/>
            <w:left w:val="none" w:sz="0" w:space="0" w:color="auto"/>
            <w:bottom w:val="none" w:sz="0" w:space="0" w:color="auto"/>
            <w:right w:val="none" w:sz="0" w:space="0" w:color="auto"/>
          </w:divBdr>
        </w:div>
        <w:div w:id="1599485059">
          <w:marLeft w:val="0"/>
          <w:marRight w:val="0"/>
          <w:marTop w:val="0"/>
          <w:marBottom w:val="0"/>
          <w:divBdr>
            <w:top w:val="none" w:sz="0" w:space="0" w:color="auto"/>
            <w:left w:val="none" w:sz="0" w:space="0" w:color="auto"/>
            <w:bottom w:val="none" w:sz="0" w:space="0" w:color="auto"/>
            <w:right w:val="none" w:sz="0" w:space="0" w:color="auto"/>
          </w:divBdr>
        </w:div>
      </w:divsChild>
    </w:div>
    <w:div w:id="1268198756">
      <w:bodyDiv w:val="1"/>
      <w:marLeft w:val="0"/>
      <w:marRight w:val="0"/>
      <w:marTop w:val="0"/>
      <w:marBottom w:val="0"/>
      <w:divBdr>
        <w:top w:val="none" w:sz="0" w:space="0" w:color="auto"/>
        <w:left w:val="none" w:sz="0" w:space="0" w:color="auto"/>
        <w:bottom w:val="none" w:sz="0" w:space="0" w:color="auto"/>
        <w:right w:val="none" w:sz="0" w:space="0" w:color="auto"/>
      </w:divBdr>
    </w:div>
    <w:div w:id="167510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1.xml"/><Relationship Id="rId26" Type="http://schemas.openxmlformats.org/officeDocument/2006/relationships/hyperlink" Target="https://www.regione.toscana.it/sst" TargetMode="External"/><Relationship Id="rId39" Type="http://schemas.openxmlformats.org/officeDocument/2006/relationships/hyperlink" Target="https://www.salute.gov.it/portale/vaccinazioni/homeVaccinazioni.jsp" TargetMode="External"/><Relationship Id="rId3" Type="http://schemas.openxmlformats.org/officeDocument/2006/relationships/styles" Target="styles.xml"/><Relationship Id="rId21" Type="http://schemas.openxmlformats.org/officeDocument/2006/relationships/hyperlink" Target="https://www.salute.gov.it/portale/home.html" TargetMode="External"/><Relationship Id="rId34" Type="http://schemas.openxmlformats.org/officeDocument/2006/relationships/hyperlink" Target="https://www.mighealthcare.eu/" TargetMode="External"/><Relationship Id="rId42" Type="http://schemas.openxmlformats.org/officeDocument/2006/relationships/hyperlink" Target="https://uslcentro.toscana.it/index.php/ospedali"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5" Type="http://schemas.openxmlformats.org/officeDocument/2006/relationships/hyperlink" Target="https://www.inmp.it/" TargetMode="External"/><Relationship Id="rId33" Type="http://schemas.openxmlformats.org/officeDocument/2006/relationships/hyperlink" Target="https://www.youtube.com/playlist?list=PL5WpPAVGKvdafMKFEIeh5tpeg995Y4QiA" TargetMode="External"/><Relationship Id="rId38" Type="http://schemas.openxmlformats.org/officeDocument/2006/relationships/hyperlink" Target="https://www.salute.gov.it/portale/home.htm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2.png"/><Relationship Id="rId29" Type="http://schemas.openxmlformats.org/officeDocument/2006/relationships/hyperlink" Target="https://www.bussolasanita.it/documenti/schede/857_Allegato_270.pdf" TargetMode="External"/><Relationship Id="rId41" Type="http://schemas.openxmlformats.org/officeDocument/2006/relationships/hyperlink" Target="https://www.regione.toscana.it/s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www.aifa.gov.it/" TargetMode="External"/><Relationship Id="rId32" Type="http://schemas.openxmlformats.org/officeDocument/2006/relationships/hyperlink" Target="https://icare.sanita.toscana.it/it/" TargetMode="External"/><Relationship Id="rId37" Type="http://schemas.openxmlformats.org/officeDocument/2006/relationships/hyperlink" Target="https://www604.regione.toscana.it/" TargetMode="External"/><Relationship Id="rId40" Type="http://schemas.openxmlformats.org/officeDocument/2006/relationships/hyperlink" Target="https://www.donailsangue.salute.gov.it/donaresangue/homeCns.jsp"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yperlink" Target="https://www.agenas.gov.it/" TargetMode="External"/><Relationship Id="rId28" Type="http://schemas.openxmlformats.org/officeDocument/2006/relationships/hyperlink" Target="https://www.salute.gov.it/portale/assistenzaSanitaria/dettaglioOpuscoliAssistenzaSanitaria.jsp?id=297" TargetMode="External"/><Relationship Id="rId36" Type="http://schemas.openxmlformats.org/officeDocument/2006/relationships/hyperlink" Target="https://www.youtube.com/watch?v=v_NMknSIB0s&amp;t=31s" TargetMode="External"/><Relationship Id="rId10" Type="http://schemas.openxmlformats.org/officeDocument/2006/relationships/image" Target="media/image3.jpg"/><Relationship Id="rId19" Type="http://schemas.openxmlformats.org/officeDocument/2006/relationships/hyperlink" Target="https://mig-dhl.eu/" TargetMode="External"/><Relationship Id="rId31" Type="http://schemas.openxmlformats.org/officeDocument/2006/relationships/hyperlink" Target="https://www.retesai.it/" TargetMode="External"/><Relationship Id="rId44" Type="http://schemas.openxmlformats.org/officeDocument/2006/relationships/hyperlink" Target="https://farmaciaditurno.e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yperlink" Target="https://www.iss.it/en/web/guest" TargetMode="External"/><Relationship Id="rId27" Type="http://schemas.openxmlformats.org/officeDocument/2006/relationships/hyperlink" Target="https://www.who.int/home" TargetMode="External"/><Relationship Id="rId30" Type="http://schemas.openxmlformats.org/officeDocument/2006/relationships/hyperlink" Target="https://www.centrosaluteglobale.eu/" TargetMode="External"/><Relationship Id="rId35" Type="http://schemas.openxmlformats.org/officeDocument/2006/relationships/hyperlink" Target="https://www.regione.toscana.it/-/toscana-salute" TargetMode="External"/><Relationship Id="rId43" Type="http://schemas.openxmlformats.org/officeDocument/2006/relationships/hyperlink" Target="https://www.assomedic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LQTNLO8N2D6QRy/qKVpfuZ3YsQ==">AMUW2mXps6cW0+zjwoBHYjRVN/0WB1W/QgbyGEJPQCKxD868m+2g1/9slHmi1uttLoYUFh1y1UVLJnCWzGUpCfOfowTbrEQUs/X671Pf9R4BElQC3X8zp6cQeBz16NhY4nhsQbysCfUInXe1HCw2APaMBGErTziFKmZxvRJMZV2jh0Lvo1SCdacyRfj5my1EF/Tn7WGgea9LTqAENkKIeb1RVXvavVnmzQhwlSV2io9CKerPE6riDwaSCFBsN3xA9SCE0VUCga8YhMi1zk125RCJb1MuUCUp68oiVz8b6ObSbRTwtL6RPlPBtcwPk6p69gDD03wKgsSwIpd+stu8XnTXmtwWIeq3MEGZ5wI1IY1Hv/sh+gFsUL4T2rum8H2jGtdeXfZBcdxOXX2Dor53hWIvaUchYGZdpgz9eC0oSJ3jxFT9iGHyR1/uy6m5GwsZL6VSewY2Oq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15</Pages>
  <Words>3682</Words>
  <Characters>19887</Characters>
  <Application>Microsoft Office Word</Application>
  <DocSecurity>0</DocSecurity>
  <Lines>165</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8</cp:revision>
  <cp:lastPrinted>2022-09-06T11:13:00Z</cp:lastPrinted>
  <dcterms:created xsi:type="dcterms:W3CDTF">2022-08-24T18:29:00Z</dcterms:created>
  <dcterms:modified xsi:type="dcterms:W3CDTF">2022-09-06T11:14:00Z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