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007" w:rsidRDefault="001D7EE7">
      <w:pPr>
        <w:rPr>
          <w:sz w:val="24"/>
          <w:szCs w:val="24"/>
          <w:lang w:val="it-IT"/>
        </w:rPr>
      </w:pPr>
      <w:r>
        <w:rPr>
          <w:noProof/>
          <w:sz w:val="24"/>
          <w:szCs w:val="24"/>
          <w:lang w:val="it-IT"/>
        </w:rPr>
        <w:drawing>
          <wp:inline distT="0" distB="0" distL="0" distR="0">
            <wp:extent cx="5731510" cy="1516381"/>
            <wp:effectExtent l="0" t="0" r="0" b="0"/>
            <wp:docPr id="1073741827" name="officeArt object" descr="image11.png"/>
            <wp:cNvGraphicFramePr/>
            <a:graphic xmlns:a="http://schemas.openxmlformats.org/drawingml/2006/main">
              <a:graphicData uri="http://schemas.openxmlformats.org/drawingml/2006/picture">
                <pic:pic xmlns:pic="http://schemas.openxmlformats.org/drawingml/2006/picture">
                  <pic:nvPicPr>
                    <pic:cNvPr id="1073741827" name="image11.png" descr="image11.png"/>
                    <pic:cNvPicPr>
                      <a:picLocks noChangeAspect="1"/>
                    </pic:cNvPicPr>
                  </pic:nvPicPr>
                  <pic:blipFill>
                    <a:blip r:embed="rId7">
                      <a:extLst/>
                    </a:blip>
                    <a:stretch>
                      <a:fillRect/>
                    </a:stretch>
                  </pic:blipFill>
                  <pic:spPr>
                    <a:xfrm>
                      <a:off x="0" y="0"/>
                      <a:ext cx="5731510" cy="1516381"/>
                    </a:xfrm>
                    <a:prstGeom prst="rect">
                      <a:avLst/>
                    </a:prstGeom>
                    <a:ln w="12700" cap="flat">
                      <a:noFill/>
                      <a:miter lim="400000"/>
                    </a:ln>
                    <a:effectLst/>
                  </pic:spPr>
                </pic:pic>
              </a:graphicData>
            </a:graphic>
          </wp:inline>
        </w:drawing>
      </w:r>
    </w:p>
    <w:p w:rsidR="00BE4007" w:rsidRDefault="001D7EE7">
      <w:pPr>
        <w:jc w:val="center"/>
        <w:rPr>
          <w:b/>
          <w:bCs/>
          <w:color w:val="C00000"/>
          <w:sz w:val="96"/>
          <w:szCs w:val="96"/>
          <w:u w:color="C00000"/>
          <w:lang w:val="it-IT"/>
        </w:rPr>
      </w:pPr>
      <w:r>
        <w:rPr>
          <w:b/>
          <w:bCs/>
          <w:color w:val="C00000"/>
          <w:sz w:val="96"/>
          <w:szCs w:val="96"/>
          <w:u w:color="C00000"/>
          <w:lang w:val="it-IT"/>
        </w:rPr>
        <w:t>Manuel</w:t>
      </w:r>
    </w:p>
    <w:p w:rsidR="00BE4007" w:rsidRDefault="001D7EE7">
      <w:pPr>
        <w:jc w:val="center"/>
        <w:rPr>
          <w:b/>
          <w:bCs/>
          <w:sz w:val="40"/>
          <w:szCs w:val="40"/>
          <w:lang w:val="it-IT"/>
        </w:rPr>
      </w:pPr>
      <w:r>
        <w:rPr>
          <w:b/>
          <w:bCs/>
          <w:color w:val="C00000"/>
          <w:sz w:val="40"/>
          <w:szCs w:val="40"/>
          <w:u w:color="C00000"/>
          <w:lang w:val="it-IT"/>
        </w:rPr>
        <w:t>Module 2</w:t>
      </w:r>
      <w:r>
        <w:rPr>
          <w:b/>
          <w:bCs/>
          <w:sz w:val="40"/>
          <w:szCs w:val="40"/>
          <w:lang w:val="it-IT"/>
        </w:rPr>
        <w:br/>
      </w:r>
      <w:r>
        <w:rPr>
          <w:sz w:val="40"/>
          <w:szCs w:val="40"/>
          <w:lang w:val="it-IT"/>
        </w:rPr>
        <w:t>Les principaux problèmes</w:t>
      </w:r>
      <w:r>
        <w:rPr>
          <w:sz w:val="40"/>
          <w:szCs w:val="40"/>
          <w:lang w:val="de-DE"/>
        </w:rPr>
        <w:t xml:space="preserve"> d</w:t>
      </w:r>
      <w:r>
        <w:rPr>
          <w:sz w:val="40"/>
          <w:szCs w:val="40"/>
          <w:lang w:val="it-IT"/>
        </w:rPr>
        <w:t>e santé</w:t>
      </w:r>
      <w:r>
        <w:rPr>
          <w:sz w:val="40"/>
          <w:szCs w:val="40"/>
          <w:lang w:val="de-DE"/>
        </w:rPr>
        <w:t xml:space="preserve"> </w:t>
      </w:r>
      <w:r>
        <w:rPr>
          <w:sz w:val="40"/>
          <w:szCs w:val="40"/>
          <w:lang w:val="it-IT"/>
        </w:rPr>
        <w:t>à l’arrivée dans un nouveau pays</w:t>
      </w:r>
      <w:r>
        <w:rPr>
          <w:b/>
          <w:bCs/>
          <w:sz w:val="28"/>
          <w:szCs w:val="28"/>
          <w:lang w:val="it-IT"/>
        </w:rPr>
        <w:t xml:space="preserve"> </w:t>
      </w:r>
    </w:p>
    <w:p w:rsidR="00BE4007" w:rsidRDefault="001D7EE7">
      <w:pPr>
        <w:jc w:val="left"/>
        <w:rPr>
          <w:sz w:val="28"/>
          <w:szCs w:val="28"/>
          <w:lang w:val="it-IT"/>
        </w:rPr>
      </w:pPr>
      <w:r>
        <w:rPr>
          <w:b/>
          <w:bCs/>
          <w:color w:val="C00000"/>
          <w:sz w:val="32"/>
          <w:szCs w:val="32"/>
          <w:u w:color="C00000"/>
          <w:lang w:val="it-IT"/>
        </w:rPr>
        <w:t>Auteurs:</w:t>
      </w:r>
      <w:r>
        <w:rPr>
          <w:b/>
          <w:bCs/>
          <w:color w:val="C00000"/>
          <w:sz w:val="32"/>
          <w:szCs w:val="32"/>
          <w:u w:color="C00000"/>
          <w:lang w:val="it-IT"/>
        </w:rPr>
        <w:br/>
      </w:r>
      <w:r>
        <w:rPr>
          <w:sz w:val="28"/>
          <w:szCs w:val="28"/>
          <w:lang w:val="it-IT"/>
        </w:rPr>
        <w:t>Karin Drda-Kühn, MediaK; Nikole Papaevgeniou, Prolepsis</w:t>
      </w:r>
    </w:p>
    <w:p w:rsidR="004E7D4E" w:rsidRPr="005A55D8" w:rsidRDefault="004E7D4E" w:rsidP="004E7D4E">
      <w:pPr>
        <w:rPr>
          <w:sz w:val="16"/>
          <w:szCs w:val="16"/>
          <w:lang w:val="it-IT"/>
        </w:rPr>
      </w:pPr>
    </w:p>
    <w:tbl>
      <w:tblPr>
        <w:tblW w:w="9026" w:type="dxa"/>
        <w:jc w:val="center"/>
        <w:tblBorders>
          <w:top w:val="nil"/>
          <w:left w:val="nil"/>
          <w:bottom w:val="nil"/>
          <w:right w:val="nil"/>
          <w:insideH w:val="nil"/>
          <w:insideV w:val="nil"/>
        </w:tblBorders>
        <w:tblLayout w:type="fixed"/>
        <w:tblLook w:val="0400" w:firstRow="0" w:lastRow="0" w:firstColumn="0" w:lastColumn="0" w:noHBand="0" w:noVBand="1"/>
      </w:tblPr>
      <w:tblGrid>
        <w:gridCol w:w="236"/>
        <w:gridCol w:w="1792"/>
        <w:gridCol w:w="1026"/>
        <w:gridCol w:w="1500"/>
        <w:gridCol w:w="1104"/>
        <w:gridCol w:w="1847"/>
        <w:gridCol w:w="1511"/>
        <w:gridCol w:w="10"/>
      </w:tblGrid>
      <w:tr w:rsidR="004E7D4E" w:rsidRPr="005A55D8" w:rsidTr="007141B5">
        <w:trPr>
          <w:jc w:val="center"/>
        </w:trPr>
        <w:tc>
          <w:tcPr>
            <w:tcW w:w="1956" w:type="dxa"/>
            <w:gridSpan w:val="2"/>
          </w:tcPr>
          <w:p w:rsidR="004E7D4E" w:rsidRPr="005A55D8" w:rsidRDefault="004E7D4E" w:rsidP="007141B5">
            <w:pPr>
              <w:rPr>
                <w:sz w:val="16"/>
                <w:szCs w:val="16"/>
                <w:lang w:val="it-IT"/>
              </w:rPr>
            </w:pPr>
            <w:r w:rsidRPr="005A55D8">
              <w:rPr>
                <w:noProof/>
                <w:sz w:val="16"/>
                <w:szCs w:val="16"/>
                <w:lang w:val="it-IT"/>
              </w:rPr>
              <w:drawing>
                <wp:inline distT="0" distB="0" distL="0" distR="0" wp14:anchorId="7CAB6142" wp14:editId="55BF1CFB">
                  <wp:extent cx="1125908" cy="634403"/>
                  <wp:effectExtent l="0" t="0" r="0" b="0"/>
                  <wp:docPr id="21"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8"/>
                          <a:srcRect b="18123"/>
                          <a:stretch>
                            <a:fillRect/>
                          </a:stretch>
                        </pic:blipFill>
                        <pic:spPr>
                          <a:xfrm>
                            <a:off x="0" y="0"/>
                            <a:ext cx="1125908" cy="634403"/>
                          </a:xfrm>
                          <a:prstGeom prst="rect">
                            <a:avLst/>
                          </a:prstGeom>
                          <a:ln/>
                        </pic:spPr>
                      </pic:pic>
                    </a:graphicData>
                  </a:graphic>
                </wp:inline>
              </w:drawing>
            </w:r>
          </w:p>
        </w:tc>
        <w:tc>
          <w:tcPr>
            <w:tcW w:w="1036" w:type="dxa"/>
          </w:tcPr>
          <w:p w:rsidR="004E7D4E" w:rsidRPr="005A55D8" w:rsidRDefault="004E7D4E" w:rsidP="007141B5">
            <w:pPr>
              <w:rPr>
                <w:sz w:val="16"/>
                <w:szCs w:val="16"/>
                <w:lang w:val="it-IT"/>
              </w:rPr>
            </w:pPr>
            <w:r w:rsidRPr="005A55D8">
              <w:rPr>
                <w:noProof/>
                <w:lang w:val="it-IT"/>
              </w:rPr>
              <w:drawing>
                <wp:anchor distT="0" distB="0" distL="114300" distR="114300" simplePos="0" relativeHeight="251661312" behindDoc="0" locked="0" layoutInCell="1" hidden="0" allowOverlap="1" wp14:anchorId="1FC7BAB4" wp14:editId="4C5245FC">
                  <wp:simplePos x="0" y="0"/>
                  <wp:positionH relativeFrom="column">
                    <wp:posOffset>33656</wp:posOffset>
                  </wp:positionH>
                  <wp:positionV relativeFrom="paragraph">
                    <wp:posOffset>-230956</wp:posOffset>
                  </wp:positionV>
                  <wp:extent cx="688063" cy="895980"/>
                  <wp:effectExtent l="0" t="0" r="0" b="0"/>
                  <wp:wrapNone/>
                  <wp:docPr id="2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l="17249" t="9421" r="16570" b="12063"/>
                          <a:stretch>
                            <a:fillRect/>
                          </a:stretch>
                        </pic:blipFill>
                        <pic:spPr>
                          <a:xfrm>
                            <a:off x="0" y="0"/>
                            <a:ext cx="688063" cy="895980"/>
                          </a:xfrm>
                          <a:prstGeom prst="rect">
                            <a:avLst/>
                          </a:prstGeom>
                          <a:ln/>
                        </pic:spPr>
                      </pic:pic>
                    </a:graphicData>
                  </a:graphic>
                </wp:anchor>
              </w:drawing>
            </w:r>
          </w:p>
        </w:tc>
        <w:tc>
          <w:tcPr>
            <w:tcW w:w="2632" w:type="dxa"/>
            <w:gridSpan w:val="2"/>
          </w:tcPr>
          <w:p w:rsidR="004E7D4E" w:rsidRPr="005A55D8" w:rsidRDefault="004E7D4E" w:rsidP="007141B5">
            <w:pPr>
              <w:rPr>
                <w:sz w:val="16"/>
                <w:szCs w:val="16"/>
                <w:lang w:val="it-IT"/>
              </w:rPr>
            </w:pPr>
            <w:r w:rsidRPr="005A55D8">
              <w:rPr>
                <w:noProof/>
                <w:lang w:val="it-IT"/>
              </w:rPr>
              <w:drawing>
                <wp:anchor distT="0" distB="0" distL="114300" distR="114300" simplePos="0" relativeHeight="251662336" behindDoc="0" locked="0" layoutInCell="1" hidden="0" allowOverlap="1" wp14:anchorId="0B53B00A" wp14:editId="24951ACB">
                  <wp:simplePos x="0" y="0"/>
                  <wp:positionH relativeFrom="column">
                    <wp:posOffset>69120</wp:posOffset>
                  </wp:positionH>
                  <wp:positionV relativeFrom="paragraph">
                    <wp:posOffset>126365</wp:posOffset>
                  </wp:positionV>
                  <wp:extent cx="1534538" cy="484360"/>
                  <wp:effectExtent l="0" t="0" r="0" b="0"/>
                  <wp:wrapSquare wrapText="bothSides" distT="0" distB="0" distL="114300" distR="114300"/>
                  <wp:docPr id="1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0"/>
                          <a:srcRect b="22683"/>
                          <a:stretch>
                            <a:fillRect/>
                          </a:stretch>
                        </pic:blipFill>
                        <pic:spPr>
                          <a:xfrm>
                            <a:off x="0" y="0"/>
                            <a:ext cx="1534538" cy="484360"/>
                          </a:xfrm>
                          <a:prstGeom prst="rect">
                            <a:avLst/>
                          </a:prstGeom>
                          <a:ln/>
                        </pic:spPr>
                      </pic:pic>
                    </a:graphicData>
                  </a:graphic>
                </wp:anchor>
              </w:drawing>
            </w:r>
          </w:p>
        </w:tc>
        <w:tc>
          <w:tcPr>
            <w:tcW w:w="1866" w:type="dxa"/>
          </w:tcPr>
          <w:p w:rsidR="004E7D4E" w:rsidRPr="005A55D8" w:rsidRDefault="004E7D4E" w:rsidP="007141B5">
            <w:pPr>
              <w:rPr>
                <w:sz w:val="16"/>
                <w:szCs w:val="16"/>
                <w:lang w:val="it-IT"/>
              </w:rPr>
            </w:pPr>
            <w:r w:rsidRPr="005A55D8">
              <w:rPr>
                <w:noProof/>
                <w:sz w:val="16"/>
                <w:szCs w:val="16"/>
                <w:lang w:val="it-IT"/>
              </w:rPr>
              <w:drawing>
                <wp:inline distT="0" distB="0" distL="0" distR="0" wp14:anchorId="0731A934" wp14:editId="1734DFFF">
                  <wp:extent cx="1049772" cy="587659"/>
                  <wp:effectExtent l="0" t="0" r="0" b="0"/>
                  <wp:docPr id="15"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1"/>
                          <a:srcRect l="21020" r="20316" b="18194"/>
                          <a:stretch>
                            <a:fillRect/>
                          </a:stretch>
                        </pic:blipFill>
                        <pic:spPr>
                          <a:xfrm>
                            <a:off x="0" y="0"/>
                            <a:ext cx="1049772" cy="587659"/>
                          </a:xfrm>
                          <a:prstGeom prst="rect">
                            <a:avLst/>
                          </a:prstGeom>
                          <a:ln/>
                        </pic:spPr>
                      </pic:pic>
                    </a:graphicData>
                  </a:graphic>
                </wp:inline>
              </w:drawing>
            </w:r>
          </w:p>
        </w:tc>
        <w:tc>
          <w:tcPr>
            <w:tcW w:w="1536" w:type="dxa"/>
            <w:gridSpan w:val="2"/>
          </w:tcPr>
          <w:p w:rsidR="004E7D4E" w:rsidRPr="005A55D8" w:rsidRDefault="004E7D4E" w:rsidP="007141B5">
            <w:pPr>
              <w:rPr>
                <w:sz w:val="16"/>
                <w:szCs w:val="16"/>
                <w:lang w:val="it-IT"/>
              </w:rPr>
            </w:pPr>
            <w:r w:rsidRPr="005A55D8">
              <w:rPr>
                <w:noProof/>
                <w:sz w:val="16"/>
                <w:szCs w:val="16"/>
                <w:lang w:val="it-IT"/>
              </w:rPr>
              <w:drawing>
                <wp:inline distT="0" distB="0" distL="0" distR="0" wp14:anchorId="628204A3" wp14:editId="30F8DA9A">
                  <wp:extent cx="846290" cy="630274"/>
                  <wp:effectExtent l="0" t="0" r="0" b="0"/>
                  <wp:docPr id="20"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2"/>
                          <a:srcRect l="13851" t="35173" r="12037" b="11431"/>
                          <a:stretch>
                            <a:fillRect/>
                          </a:stretch>
                        </pic:blipFill>
                        <pic:spPr>
                          <a:xfrm>
                            <a:off x="0" y="0"/>
                            <a:ext cx="846290" cy="630274"/>
                          </a:xfrm>
                          <a:prstGeom prst="rect">
                            <a:avLst/>
                          </a:prstGeom>
                          <a:ln/>
                        </pic:spPr>
                      </pic:pic>
                    </a:graphicData>
                  </a:graphic>
                </wp:inline>
              </w:drawing>
            </w:r>
          </w:p>
        </w:tc>
      </w:tr>
      <w:tr w:rsidR="004E7D4E" w:rsidRPr="005A55D8" w:rsidTr="007141B5">
        <w:trPr>
          <w:gridAfter w:val="1"/>
          <w:wAfter w:w="10" w:type="dxa"/>
          <w:jc w:val="center"/>
        </w:trPr>
        <w:tc>
          <w:tcPr>
            <w:tcW w:w="142" w:type="dxa"/>
          </w:tcPr>
          <w:p w:rsidR="004E7D4E" w:rsidRPr="005A55D8" w:rsidRDefault="004E7D4E" w:rsidP="007141B5">
            <w:pPr>
              <w:widowControl w:val="0"/>
              <w:spacing w:line="276" w:lineRule="auto"/>
              <w:rPr>
                <w:sz w:val="16"/>
                <w:szCs w:val="16"/>
                <w:lang w:val="it-IT"/>
              </w:rPr>
            </w:pPr>
          </w:p>
        </w:tc>
        <w:tc>
          <w:tcPr>
            <w:tcW w:w="4366" w:type="dxa"/>
            <w:gridSpan w:val="3"/>
          </w:tcPr>
          <w:p w:rsidR="004E7D4E" w:rsidRPr="005A55D8" w:rsidRDefault="004E7D4E" w:rsidP="007141B5">
            <w:pPr>
              <w:jc w:val="center"/>
              <w:rPr>
                <w:sz w:val="16"/>
                <w:szCs w:val="16"/>
                <w:lang w:val="it-IT"/>
              </w:rPr>
            </w:pPr>
            <w:r w:rsidRPr="005A55D8">
              <w:rPr>
                <w:noProof/>
                <w:sz w:val="16"/>
                <w:szCs w:val="16"/>
                <w:lang w:val="it-IT"/>
              </w:rPr>
              <w:drawing>
                <wp:inline distT="0" distB="0" distL="0" distR="0" wp14:anchorId="55E70350" wp14:editId="1A76E4D6">
                  <wp:extent cx="930963" cy="386715"/>
                  <wp:effectExtent l="0" t="0" r="0" b="0"/>
                  <wp:docPr id="18"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3"/>
                          <a:srcRect l="9456" r="8192" b="16967"/>
                          <a:stretch>
                            <a:fillRect/>
                          </a:stretch>
                        </pic:blipFill>
                        <pic:spPr>
                          <a:xfrm>
                            <a:off x="0" y="0"/>
                            <a:ext cx="930963" cy="386715"/>
                          </a:xfrm>
                          <a:prstGeom prst="rect">
                            <a:avLst/>
                          </a:prstGeom>
                          <a:ln/>
                        </pic:spPr>
                      </pic:pic>
                    </a:graphicData>
                  </a:graphic>
                </wp:inline>
              </w:drawing>
            </w:r>
          </w:p>
        </w:tc>
        <w:tc>
          <w:tcPr>
            <w:tcW w:w="4508" w:type="dxa"/>
            <w:gridSpan w:val="3"/>
          </w:tcPr>
          <w:p w:rsidR="004E7D4E" w:rsidRPr="005A55D8" w:rsidRDefault="004E7D4E" w:rsidP="007141B5">
            <w:pPr>
              <w:jc w:val="center"/>
              <w:rPr>
                <w:sz w:val="16"/>
                <w:szCs w:val="16"/>
                <w:lang w:val="it-IT"/>
              </w:rPr>
            </w:pPr>
            <w:r w:rsidRPr="005A55D8">
              <w:rPr>
                <w:noProof/>
                <w:sz w:val="16"/>
                <w:szCs w:val="16"/>
                <w:lang w:val="it-IT"/>
              </w:rPr>
              <w:drawing>
                <wp:inline distT="0" distB="0" distL="0" distR="0" wp14:anchorId="5E35B83D" wp14:editId="4DE9D579">
                  <wp:extent cx="1113416" cy="393444"/>
                  <wp:effectExtent l="0" t="0" r="0" b="0"/>
                  <wp:docPr id="16"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4"/>
                          <a:srcRect b="14548"/>
                          <a:stretch>
                            <a:fillRect/>
                          </a:stretch>
                        </pic:blipFill>
                        <pic:spPr>
                          <a:xfrm>
                            <a:off x="0" y="0"/>
                            <a:ext cx="1113416" cy="393444"/>
                          </a:xfrm>
                          <a:prstGeom prst="rect">
                            <a:avLst/>
                          </a:prstGeom>
                          <a:ln/>
                        </pic:spPr>
                      </pic:pic>
                    </a:graphicData>
                  </a:graphic>
                </wp:inline>
              </w:drawing>
            </w:r>
          </w:p>
        </w:tc>
      </w:tr>
    </w:tbl>
    <w:p w:rsidR="00BE4007" w:rsidRDefault="00BE4007">
      <w:pPr>
        <w:widowControl w:val="0"/>
        <w:spacing w:line="240" w:lineRule="auto"/>
        <w:jc w:val="center"/>
        <w:rPr>
          <w:sz w:val="16"/>
          <w:szCs w:val="16"/>
          <w:lang w:val="it-IT"/>
        </w:rPr>
      </w:pPr>
    </w:p>
    <w:p w:rsidR="00BE4007" w:rsidRDefault="001D7EE7">
      <w:pPr>
        <w:rPr>
          <w:sz w:val="16"/>
          <w:szCs w:val="16"/>
          <w:lang w:val="it-IT"/>
        </w:rPr>
      </w:pPr>
      <w:r>
        <w:rPr>
          <w:noProof/>
          <w:lang w:val="it-IT"/>
        </w:rPr>
        <w:drawing>
          <wp:anchor distT="57150" distB="57150" distL="57150" distR="57150" simplePos="0" relativeHeight="251659264" behindDoc="0" locked="0" layoutInCell="1" allowOverlap="1">
            <wp:simplePos x="0" y="0"/>
            <wp:positionH relativeFrom="column">
              <wp:posOffset>-645795</wp:posOffset>
            </wp:positionH>
            <wp:positionV relativeFrom="line">
              <wp:posOffset>236220</wp:posOffset>
            </wp:positionV>
            <wp:extent cx="1683386" cy="622300"/>
            <wp:effectExtent l="0" t="0" r="0" b="0"/>
            <wp:wrapSquare wrapText="bothSides" distT="57150" distB="57150" distL="57150" distR="57150"/>
            <wp:docPr id="1073741833" name="officeArt object" descr="D:\Users\Pictures\Erasmus+ cofunded.jpg"/>
            <wp:cNvGraphicFramePr/>
            <a:graphic xmlns:a="http://schemas.openxmlformats.org/drawingml/2006/main">
              <a:graphicData uri="http://schemas.openxmlformats.org/drawingml/2006/picture">
                <pic:pic xmlns:pic="http://schemas.openxmlformats.org/drawingml/2006/picture">
                  <pic:nvPicPr>
                    <pic:cNvPr id="1073741833" name="D:\Users\Pictures\Erasmus+ cofunded.jpg" descr="D:\Users\Pictures\Erasmus+ cofunded.jpg"/>
                    <pic:cNvPicPr>
                      <a:picLocks noChangeAspect="1"/>
                    </pic:cNvPicPr>
                  </pic:nvPicPr>
                  <pic:blipFill>
                    <a:blip r:embed="rId15">
                      <a:extLst/>
                    </a:blip>
                    <a:stretch>
                      <a:fillRect/>
                    </a:stretch>
                  </pic:blipFill>
                  <pic:spPr>
                    <a:xfrm>
                      <a:off x="0" y="0"/>
                      <a:ext cx="1683386" cy="622300"/>
                    </a:xfrm>
                    <a:prstGeom prst="rect">
                      <a:avLst/>
                    </a:prstGeom>
                    <a:ln w="12700" cap="flat">
                      <a:noFill/>
                      <a:miter lim="400000"/>
                    </a:ln>
                    <a:effectLst/>
                  </pic:spPr>
                </pic:pic>
              </a:graphicData>
            </a:graphic>
          </wp:anchor>
        </w:drawing>
      </w:r>
    </w:p>
    <w:p w:rsidR="00BE4007" w:rsidRDefault="001D7EE7">
      <w:pPr>
        <w:spacing w:after="0" w:line="240" w:lineRule="auto"/>
        <w:jc w:val="left"/>
        <w:rPr>
          <w:rFonts w:eastAsia="Calibri" w:cs="Calibri"/>
          <w:sz w:val="16"/>
          <w:szCs w:val="16"/>
          <w14:textOutline w14:w="0" w14:cap="flat" w14:cmpd="sng" w14:algn="ctr">
            <w14:noFill/>
            <w14:prstDash w14:val="solid"/>
            <w14:bevel/>
          </w14:textOutline>
        </w:rPr>
      </w:pPr>
      <w:r>
        <w:rPr>
          <w:rFonts w:ascii="Times New Roman" w:hAnsi="Times New Roman"/>
          <w:sz w:val="20"/>
          <w:szCs w:val="20"/>
          <w:lang w:val="de-DE"/>
          <w14:textOutline w14:w="0" w14:cap="flat" w14:cmpd="sng" w14:algn="ctr">
            <w14:noFill/>
            <w14:prstDash w14:val="solid"/>
            <w14:bevel/>
          </w14:textOutline>
        </w:rPr>
        <w:t xml:space="preserve"> </w:t>
      </w:r>
      <w:r>
        <w:rPr>
          <w:rFonts w:ascii="Times New Roman" w:hAnsi="Times New Roman"/>
          <w:sz w:val="16"/>
          <w:szCs w:val="16"/>
          <w:lang w:val="it-IT"/>
          <w14:textOutline w14:w="0" w14:cap="flat" w14:cmpd="sng" w14:algn="ctr">
            <w14:noFill/>
            <w14:prstDash w14:val="solid"/>
            <w14:bevel/>
          </w14:textOutline>
        </w:rPr>
        <w:t>L</w:t>
      </w:r>
      <w:r>
        <w:rPr>
          <w:rFonts w:ascii="Calibri Light" w:hAnsi="Calibri Light"/>
          <w:sz w:val="16"/>
          <w:szCs w:val="16"/>
          <w:lang w:val="fr-FR"/>
          <w14:textOutline w14:w="0" w14:cap="flat" w14:cmpd="sng" w14:algn="ctr">
            <w14:noFill/>
            <w14:prstDash w14:val="solid"/>
            <w14:bevel/>
          </w14:textOutline>
        </w:rPr>
        <w:t>e soutien de la Commission europ</w:t>
      </w:r>
      <w:r>
        <w:rPr>
          <w:rFonts w:ascii="Calibri Light" w:hAnsi="Calibri Light"/>
          <w:sz w:val="16"/>
          <w:szCs w:val="16"/>
          <w:lang w:val="fr-FR"/>
          <w14:textOutline w14:w="0" w14:cap="flat" w14:cmpd="sng" w14:algn="ctr">
            <w14:noFill/>
            <w14:prstDash w14:val="solid"/>
            <w14:bevel/>
          </w14:textOutline>
        </w:rPr>
        <w:t>é</w:t>
      </w:r>
      <w:r>
        <w:rPr>
          <w:rFonts w:ascii="Calibri Light" w:hAnsi="Calibri Light"/>
          <w:sz w:val="16"/>
          <w:szCs w:val="16"/>
          <w:lang w:val="fr-FR"/>
          <w14:textOutline w14:w="0" w14:cap="flat" w14:cmpd="sng" w14:algn="ctr">
            <w14:noFill/>
            <w14:prstDash w14:val="solid"/>
            <w14:bevel/>
          </w14:textOutline>
        </w:rPr>
        <w:t xml:space="preserve">enne </w:t>
      </w:r>
      <w:r>
        <w:rPr>
          <w:rFonts w:ascii="Calibri Light" w:hAnsi="Calibri Light"/>
          <w:sz w:val="16"/>
          <w:szCs w:val="16"/>
          <w:lang w:val="fr-FR"/>
          <w14:textOutline w14:w="0" w14:cap="flat" w14:cmpd="sng" w14:algn="ctr">
            <w14:noFill/>
            <w14:prstDash w14:val="solid"/>
            <w14:bevel/>
          </w14:textOutline>
        </w:rPr>
        <w:t xml:space="preserve">à </w:t>
      </w:r>
      <w:r>
        <w:rPr>
          <w:rFonts w:ascii="Calibri Light" w:hAnsi="Calibri Light"/>
          <w:sz w:val="16"/>
          <w:szCs w:val="16"/>
          <w:lang w:val="fr-FR"/>
          <w14:textOutline w14:w="0" w14:cap="flat" w14:cmpd="sng" w14:algn="ctr">
            <w14:noFill/>
            <w14:prstDash w14:val="solid"/>
            <w14:bevel/>
          </w14:textOutline>
        </w:rPr>
        <w:t xml:space="preserve">la production de cette publication ne constitue pas une approbation de son contenu, qui n'engage que ses auteurs, et la Commission ne peut </w:t>
      </w:r>
      <w:r>
        <w:rPr>
          <w:rFonts w:ascii="Calibri Light" w:hAnsi="Calibri Light"/>
          <w:sz w:val="16"/>
          <w:szCs w:val="16"/>
          <w:lang w:val="fr-FR"/>
          <w14:textOutline w14:w="0" w14:cap="flat" w14:cmpd="sng" w14:algn="ctr">
            <w14:noFill/>
            <w14:prstDash w14:val="solid"/>
            <w14:bevel/>
          </w14:textOutline>
        </w:rPr>
        <w:t>ê</w:t>
      </w:r>
      <w:r>
        <w:rPr>
          <w:rFonts w:ascii="Calibri Light" w:hAnsi="Calibri Light"/>
          <w:sz w:val="16"/>
          <w:szCs w:val="16"/>
          <w:lang w:val="fr-FR"/>
          <w14:textOutline w14:w="0" w14:cap="flat" w14:cmpd="sng" w14:algn="ctr">
            <w14:noFill/>
            <w14:prstDash w14:val="solid"/>
            <w14:bevel/>
          </w14:textOutline>
        </w:rPr>
        <w:t xml:space="preserve">tre tenue responsable de l'usage qui pourrait </w:t>
      </w:r>
      <w:r>
        <w:rPr>
          <w:rFonts w:ascii="Calibri Light" w:hAnsi="Calibri Light"/>
          <w:sz w:val="16"/>
          <w:szCs w:val="16"/>
          <w:lang w:val="fr-FR"/>
          <w14:textOutline w14:w="0" w14:cap="flat" w14:cmpd="sng" w14:algn="ctr">
            <w14:noFill/>
            <w14:prstDash w14:val="solid"/>
            <w14:bevel/>
          </w14:textOutline>
        </w:rPr>
        <w:t>ê</w:t>
      </w:r>
      <w:r>
        <w:rPr>
          <w:rFonts w:ascii="Calibri Light" w:hAnsi="Calibri Light"/>
          <w:sz w:val="16"/>
          <w:szCs w:val="16"/>
          <w:lang w:val="fr-FR"/>
          <w14:textOutline w14:w="0" w14:cap="flat" w14:cmpd="sng" w14:algn="ctr">
            <w14:noFill/>
            <w14:prstDash w14:val="solid"/>
            <w14:bevel/>
          </w14:textOutline>
        </w:rPr>
        <w:t>tre fait des informations qu'elle contient. Num</w:t>
      </w:r>
      <w:r>
        <w:rPr>
          <w:rFonts w:ascii="Calibri Light" w:hAnsi="Calibri Light"/>
          <w:sz w:val="16"/>
          <w:szCs w:val="16"/>
          <w:lang w:val="fr-FR"/>
          <w14:textOutline w14:w="0" w14:cap="flat" w14:cmpd="sng" w14:algn="ctr">
            <w14:noFill/>
            <w14:prstDash w14:val="solid"/>
            <w14:bevel/>
          </w14:textOutline>
        </w:rPr>
        <w:t>é</w:t>
      </w:r>
      <w:r>
        <w:rPr>
          <w:rFonts w:ascii="Calibri Light" w:hAnsi="Calibri Light"/>
          <w:sz w:val="16"/>
          <w:szCs w:val="16"/>
          <w:lang w:val="fr-FR"/>
          <w14:textOutline w14:w="0" w14:cap="flat" w14:cmpd="sng" w14:algn="ctr">
            <w14:noFill/>
            <w14:prstDash w14:val="solid"/>
            <w14:bevel/>
          </w14:textOutline>
        </w:rPr>
        <w:t xml:space="preserve">ro de projet </w:t>
      </w:r>
      <w:r>
        <w:rPr>
          <w:rFonts w:ascii="Times New Roman" w:hAnsi="Times New Roman"/>
          <w:sz w:val="16"/>
          <w:szCs w:val="16"/>
          <w:lang w:val="it-IT"/>
          <w14:textOutline w14:w="0" w14:cap="flat" w14:cmpd="sng" w14:algn="ctr">
            <w14:noFill/>
            <w14:prstDash w14:val="solid"/>
            <w14:bevel/>
          </w14:textOutline>
        </w:rPr>
        <w:t>: 2020-1-DE02-KA204-007679.</w:t>
      </w:r>
    </w:p>
    <w:p w:rsidR="00BE4007" w:rsidRDefault="00BE4007">
      <w:pPr>
        <w:sectPr w:rsidR="00BE4007">
          <w:headerReference w:type="default" r:id="rId16"/>
          <w:pgSz w:w="11900" w:h="16840"/>
          <w:pgMar w:top="1417" w:right="1417" w:bottom="1134" w:left="1417" w:header="708" w:footer="708" w:gutter="0"/>
          <w:pgNumType w:start="1"/>
          <w:cols w:space="720"/>
        </w:sectPr>
      </w:pPr>
    </w:p>
    <w:p w:rsidR="00BE4007" w:rsidRDefault="001D7EE7">
      <w:pPr>
        <w:spacing w:line="259" w:lineRule="auto"/>
        <w:rPr>
          <w:sz w:val="24"/>
          <w:szCs w:val="24"/>
          <w:lang w:val="it-IT"/>
          <w14:textOutline w14:w="12700" w14:cap="flat" w14:cmpd="sng" w14:algn="ctr">
            <w14:noFill/>
            <w14:prstDash w14:val="solid"/>
            <w14:miter w14:lim="400000"/>
          </w14:textOutline>
        </w:rPr>
      </w:pPr>
      <w:r>
        <w:rPr>
          <w:sz w:val="24"/>
          <w:szCs w:val="24"/>
          <w:lang w:val="es-ES_tradnl"/>
          <w14:textOutline w14:w="12700" w14:cap="flat" w14:cmpd="sng" w14:algn="ctr">
            <w14:noFill/>
            <w14:prstDash w14:val="solid"/>
            <w14:miter w14:lim="400000"/>
          </w14:textOutline>
        </w:rPr>
        <w:lastRenderedPageBreak/>
        <w:t>Ce</w:t>
      </w:r>
      <w:r>
        <w:rPr>
          <w:sz w:val="24"/>
          <w:szCs w:val="24"/>
          <w:lang w:val="it-IT"/>
          <w14:textOutline w14:w="12700" w14:cap="flat" w14:cmpd="sng" w14:algn="ctr">
            <w14:noFill/>
            <w14:prstDash w14:val="solid"/>
            <w14:miter w14:lim="400000"/>
          </w14:textOutline>
        </w:rPr>
        <w:t xml:space="preserve"> manuel</w:t>
      </w:r>
      <w:r>
        <w:rPr>
          <w:sz w:val="24"/>
          <w:szCs w:val="24"/>
          <w:lang w:val="es-ES_tradnl"/>
          <w14:textOutline w14:w="12700" w14:cap="flat" w14:cmpd="sng" w14:algn="ctr">
            <w14:noFill/>
            <w14:prstDash w14:val="solid"/>
            <w14:miter w14:lim="400000"/>
          </w14:textOutline>
        </w:rPr>
        <w:t xml:space="preserve"> pour le </w:t>
      </w:r>
      <w:r>
        <w:rPr>
          <w:sz w:val="24"/>
          <w:szCs w:val="24"/>
          <w:lang w:val="it-IT"/>
          <w14:textOutline w14:w="12700" w14:cap="flat" w14:cmpd="sng" w14:algn="ctr">
            <w14:noFill/>
            <w14:prstDash w14:val="solid"/>
            <w14:miter w14:lim="400000"/>
          </w14:textOutline>
        </w:rPr>
        <w:t>M</w:t>
      </w:r>
      <w:r>
        <w:rPr>
          <w:sz w:val="24"/>
          <w:szCs w:val="24"/>
          <w:lang w:val="es-ES_tradnl"/>
          <w14:textOutline w14:w="12700" w14:cap="flat" w14:cmpd="sng" w14:algn="ctr">
            <w14:noFill/>
            <w14:prstDash w14:val="solid"/>
            <w14:miter w14:lim="400000"/>
          </w14:textOutline>
        </w:rPr>
        <w:t xml:space="preserve">odule </w:t>
      </w:r>
      <w:r>
        <w:rPr>
          <w:sz w:val="24"/>
          <w:szCs w:val="24"/>
          <w:lang w:val="it-IT"/>
          <w14:textOutline w14:w="12700" w14:cap="flat" w14:cmpd="sng" w14:algn="ctr">
            <w14:noFill/>
            <w14:prstDash w14:val="solid"/>
            <w14:miter w14:lim="400000"/>
          </w14:textOutline>
        </w:rPr>
        <w:t>2</w:t>
      </w:r>
      <w:r>
        <w:rPr>
          <w:sz w:val="24"/>
          <w:szCs w:val="24"/>
          <w:lang w:val="es-ES_tradnl"/>
          <w14:textOutline w14:w="12700" w14:cap="flat" w14:cmpd="sng" w14:algn="ctr">
            <w14:noFill/>
            <w14:prstDash w14:val="solid"/>
            <w14:miter w14:lim="400000"/>
          </w14:textOutline>
        </w:rPr>
        <w:t xml:space="preserve"> fait partie du programme </w:t>
      </w:r>
      <w:r>
        <w:rPr>
          <w:b/>
          <w:bCs/>
          <w:sz w:val="24"/>
          <w:szCs w:val="24"/>
          <w:lang w:val="es-ES_tradnl"/>
          <w14:textOutline w14:w="12700" w14:cap="flat" w14:cmpd="sng" w14:algn="ctr">
            <w14:noFill/>
            <w14:prstDash w14:val="solid"/>
            <w14:miter w14:lim="400000"/>
          </w14:textOutline>
        </w:rPr>
        <w:t>MIG-DHL</w:t>
      </w:r>
      <w:r>
        <w:rPr>
          <w:sz w:val="24"/>
          <w:szCs w:val="24"/>
          <w:lang w:val="es-ES_tradnl"/>
          <w14:textOutline w14:w="12700" w14:cap="flat" w14:cmpd="sng" w14:algn="ctr">
            <w14:noFill/>
            <w14:prstDash w14:val="solid"/>
            <w14:miter w14:lim="400000"/>
          </w14:textOutline>
        </w:rPr>
        <w:t xml:space="preserve"> qui contient 6 modules d'apprentissage au total, développés dans le cadre du partenariat stratégique Erasmus + </w:t>
      </w:r>
      <w:r>
        <w:rPr>
          <w:b/>
          <w:bCs/>
          <w:sz w:val="24"/>
          <w:szCs w:val="24"/>
          <w:lang w:val="es-ES_tradnl"/>
          <w14:textOutline w14:w="12700" w14:cap="flat" w14:cmpd="sng" w14:algn="ctr">
            <w14:noFill/>
            <w14:prstDash w14:val="solid"/>
            <w14:miter w14:lim="400000"/>
          </w14:textOutline>
        </w:rPr>
        <w:t>MIG-DHL- Migrants Digital Health Literacy</w:t>
      </w:r>
      <w:r>
        <w:rPr>
          <w:sz w:val="24"/>
          <w:szCs w:val="24"/>
          <w:lang w:val="es-ES_tradnl"/>
          <w14:textOutline w14:w="12700" w14:cap="flat" w14:cmpd="sng" w14:algn="ctr">
            <w14:noFill/>
            <w14:prstDash w14:val="solid"/>
            <w14:miter w14:lim="400000"/>
          </w14:textOutline>
        </w:rPr>
        <w:t>.</w:t>
      </w:r>
    </w:p>
    <w:p w:rsidR="00BE4007" w:rsidRDefault="001D7EE7">
      <w:pPr>
        <w:keepNext/>
        <w:keepLines/>
        <w:pBdr>
          <w:bottom w:val="single" w:sz="4" w:space="0" w:color="C00000"/>
        </w:pBdr>
        <w:spacing w:before="280" w:after="480" w:line="259" w:lineRule="auto"/>
        <w:ind w:left="432"/>
        <w:rPr>
          <w:color w:val="2F5496"/>
          <w:sz w:val="32"/>
          <w:szCs w:val="32"/>
          <w:u w:color="2F5496"/>
          <w:lang w:val="it-IT"/>
        </w:rPr>
      </w:pPr>
      <w:r>
        <w:rPr>
          <w:color w:val="2F5496"/>
          <w:sz w:val="32"/>
          <w:szCs w:val="32"/>
          <w:u w:color="2F5496"/>
          <w:lang w:val="it-IT"/>
        </w:rPr>
        <w:t>Les contenus de la formazione en resumé:</w:t>
      </w:r>
    </w:p>
    <w:tbl>
      <w:tblPr>
        <w:tblStyle w:val="TableNormal"/>
        <w:tblW w:w="864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8647"/>
      </w:tblGrid>
      <w:tr w:rsidR="00BE4007">
        <w:tblPrEx>
          <w:tblCellMar>
            <w:top w:w="0" w:type="dxa"/>
            <w:left w:w="0" w:type="dxa"/>
            <w:bottom w:w="0" w:type="dxa"/>
            <w:right w:w="0" w:type="dxa"/>
          </w:tblCellMar>
        </w:tblPrEx>
        <w:trPr>
          <w:trHeight w:val="563"/>
          <w:jc w:val="center"/>
        </w:trPr>
        <w:tc>
          <w:tcPr>
            <w:tcW w:w="8647" w:type="dxa"/>
            <w:tcBorders>
              <w:top w:val="nil"/>
              <w:left w:val="nil"/>
              <w:bottom w:val="single" w:sz="18" w:space="0" w:color="FFFFFF"/>
              <w:right w:val="nil"/>
            </w:tcBorders>
            <w:shd w:val="clear" w:color="auto" w:fill="auto"/>
            <w:tcMar>
              <w:top w:w="80" w:type="dxa"/>
              <w:left w:w="80" w:type="dxa"/>
              <w:bottom w:w="80" w:type="dxa"/>
              <w:right w:w="80" w:type="dxa"/>
            </w:tcMar>
            <w:vAlign w:val="center"/>
          </w:tcPr>
          <w:p w:rsidR="00BE4007" w:rsidRDefault="001D7EE7">
            <w:r>
              <w:rPr>
                <w:b/>
                <w:bCs/>
                <w:color w:val="1A1364"/>
                <w:sz w:val="24"/>
                <w:szCs w:val="24"/>
                <w:u w:color="1A1364"/>
                <w:lang w:val="it-IT"/>
              </w:rPr>
              <w:t>Programme</w:t>
            </w:r>
            <w:r>
              <w:rPr>
                <w:b/>
                <w:bCs/>
                <w:color w:val="1A1364"/>
                <w:sz w:val="24"/>
                <w:szCs w:val="24"/>
                <w:u w:color="1A1364"/>
                <w:lang w:val="it-IT"/>
              </w:rPr>
              <w:t xml:space="preserve"> MIG-DHL</w:t>
            </w:r>
          </w:p>
        </w:tc>
      </w:tr>
      <w:tr w:rsidR="00BE4007">
        <w:tblPrEx>
          <w:tblCellMar>
            <w:top w:w="0" w:type="dxa"/>
            <w:left w:w="0" w:type="dxa"/>
            <w:bottom w:w="0" w:type="dxa"/>
            <w:right w:w="0" w:type="dxa"/>
          </w:tblCellMar>
        </w:tblPrEx>
        <w:trPr>
          <w:trHeight w:val="666"/>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80" w:type="dxa"/>
              <w:left w:w="80" w:type="dxa"/>
              <w:bottom w:w="80" w:type="dxa"/>
              <w:right w:w="80" w:type="dxa"/>
            </w:tcMar>
            <w:vAlign w:val="center"/>
          </w:tcPr>
          <w:p w:rsidR="00BE4007" w:rsidRDefault="001D7EE7">
            <w:pPr>
              <w:spacing w:after="0" w:line="312" w:lineRule="auto"/>
              <w:jc w:val="left"/>
            </w:pPr>
            <w:r>
              <w:rPr>
                <w:b/>
                <w:bCs/>
                <w:color w:val="FFFFFF"/>
                <w:sz w:val="24"/>
                <w:szCs w:val="24"/>
                <w:u w:color="FFFFFF"/>
                <w:lang w:val="fr-FR"/>
                <w14:textOutline w14:w="12700" w14:cap="flat" w14:cmpd="sng" w14:algn="ctr">
                  <w14:noFill/>
                  <w14:prstDash w14:val="solid"/>
                  <w14:miter w14:lim="400000"/>
                </w14:textOutline>
              </w:rPr>
              <w:t>Module 1 : Qu</w:t>
            </w:r>
            <w:r>
              <w:rPr>
                <w:b/>
                <w:bCs/>
                <w:color w:val="FFFFFF"/>
                <w:sz w:val="24"/>
                <w:szCs w:val="24"/>
                <w:u w:color="FFFFFF"/>
                <w:lang w:val="fr-FR"/>
                <w14:textOutline w14:w="12700" w14:cap="flat" w14:cmpd="sng" w14:algn="ctr">
                  <w14:noFill/>
                  <w14:prstDash w14:val="solid"/>
                  <w14:miter w14:lim="400000"/>
                </w14:textOutline>
              </w:rPr>
              <w:t>’</w:t>
            </w:r>
            <w:r>
              <w:rPr>
                <w:b/>
                <w:bCs/>
                <w:color w:val="FFFFFF"/>
                <w:sz w:val="24"/>
                <w:szCs w:val="24"/>
                <w:u w:color="FFFFFF"/>
                <w:lang w:val="fr-FR"/>
                <w14:textOutline w14:w="12700" w14:cap="flat" w14:cmpd="sng" w14:algn="ctr">
                  <w14:noFill/>
                  <w14:prstDash w14:val="solid"/>
                  <w14:miter w14:lim="400000"/>
                </w14:textOutline>
              </w:rPr>
              <w:t>est-ce que</w:t>
            </w:r>
            <w:r>
              <w:rPr>
                <w:b/>
                <w:bCs/>
                <w:color w:val="FFFFFF"/>
                <w:sz w:val="24"/>
                <w:szCs w:val="24"/>
                <w:u w:color="FFFFFF"/>
                <w:lang w:val="it-IT"/>
                <w14:textOutline w14:w="12700" w14:cap="flat" w14:cmpd="sng" w14:algn="ctr">
                  <w14:noFill/>
                  <w14:prstDash w14:val="solid"/>
                  <w14:miter w14:lim="400000"/>
                </w14:textOutline>
              </w:rPr>
              <w:t xml:space="preserve"> la</w:t>
            </w:r>
            <w:r>
              <w:rPr>
                <w:b/>
                <w:bCs/>
                <w:color w:val="FFFFFF"/>
                <w:sz w:val="24"/>
                <w:szCs w:val="24"/>
                <w:u w:color="FFFFFF"/>
                <w:lang w:val="fr-FR"/>
                <w14:textOutline w14:w="12700" w14:cap="flat" w14:cmpd="sng" w14:algn="ctr">
                  <w14:noFill/>
                  <w14:prstDash w14:val="solid"/>
                  <w14:miter w14:lim="400000"/>
                </w14:textOutline>
              </w:rPr>
              <w:t xml:space="preserve"> litt</w:t>
            </w:r>
            <w:r>
              <w:rPr>
                <w:b/>
                <w:bCs/>
                <w:color w:val="FFFFFF"/>
                <w:sz w:val="24"/>
                <w:szCs w:val="24"/>
                <w:u w:color="FFFFFF"/>
                <w:lang w:val="fr-FR"/>
                <w14:textOutline w14:w="12700" w14:cap="flat" w14:cmpd="sng" w14:algn="ctr">
                  <w14:noFill/>
                  <w14:prstDash w14:val="solid"/>
                  <w14:miter w14:lim="400000"/>
                </w14:textOutline>
              </w:rPr>
              <w:t>é</w:t>
            </w:r>
            <w:r>
              <w:rPr>
                <w:b/>
                <w:bCs/>
                <w:color w:val="FFFFFF"/>
                <w:sz w:val="24"/>
                <w:szCs w:val="24"/>
                <w:u w:color="FFFFFF"/>
                <w:lang w:val="fr-FR"/>
                <w14:textOutline w14:w="12700" w14:cap="flat" w14:cmpd="sng" w14:algn="ctr">
                  <w14:noFill/>
                  <w14:prstDash w14:val="solid"/>
                  <w14:miter w14:lim="400000"/>
                </w14:textOutline>
              </w:rPr>
              <w:t>ratie en sant</w:t>
            </w:r>
            <w:r>
              <w:rPr>
                <w:b/>
                <w:bCs/>
                <w:color w:val="FFFFFF"/>
                <w:sz w:val="24"/>
                <w:szCs w:val="24"/>
                <w:u w:color="FFFFFF"/>
                <w:lang w:val="fr-FR"/>
                <w14:textOutline w14:w="12700" w14:cap="flat" w14:cmpd="sng" w14:algn="ctr">
                  <w14:noFill/>
                  <w14:prstDash w14:val="solid"/>
                  <w14:miter w14:lim="400000"/>
                </w14:textOutline>
              </w:rPr>
              <w:t xml:space="preserve">é </w:t>
            </w:r>
            <w:r>
              <w:rPr>
                <w:b/>
                <w:bCs/>
                <w:color w:val="FFFFFF"/>
                <w:sz w:val="24"/>
                <w:szCs w:val="24"/>
                <w:u w:color="FFFFFF"/>
                <w:lang w:val="fr-FR"/>
                <w14:textOutline w14:w="12700" w14:cap="flat" w14:cmpd="sng" w14:algn="ctr">
                  <w14:noFill/>
                  <w14:prstDash w14:val="solid"/>
                  <w14:miter w14:lim="400000"/>
                </w14:textOutline>
              </w:rPr>
              <w:t>num</w:t>
            </w:r>
            <w:r>
              <w:rPr>
                <w:b/>
                <w:bCs/>
                <w:color w:val="FFFFFF"/>
                <w:sz w:val="24"/>
                <w:szCs w:val="24"/>
                <w:u w:color="FFFFFF"/>
                <w:lang w:val="fr-FR"/>
                <w14:textOutline w14:w="12700" w14:cap="flat" w14:cmpd="sng" w14:algn="ctr">
                  <w14:noFill/>
                  <w14:prstDash w14:val="solid"/>
                  <w14:miter w14:lim="400000"/>
                </w14:textOutline>
              </w:rPr>
              <w:t>é</w:t>
            </w:r>
            <w:r>
              <w:rPr>
                <w:b/>
                <w:bCs/>
                <w:color w:val="FFFFFF"/>
                <w:sz w:val="24"/>
                <w:szCs w:val="24"/>
                <w:u w:color="FFFFFF"/>
                <w:lang w:val="fr-FR"/>
                <w14:textOutline w14:w="12700" w14:cap="flat" w14:cmpd="sng" w14:algn="ctr">
                  <w14:noFill/>
                  <w14:prstDash w14:val="solid"/>
                  <w14:miter w14:lim="400000"/>
                </w14:textOutline>
              </w:rPr>
              <w:t xml:space="preserve">rique [Digital Health Literacy], et </w:t>
            </w:r>
            <w:r>
              <w:rPr>
                <w:b/>
                <w:bCs/>
                <w:color w:val="FFFFFF"/>
                <w:sz w:val="24"/>
                <w:szCs w:val="24"/>
                <w:u w:color="FFFFFF"/>
                <w:lang w:val="it-IT"/>
                <w14:textOutline w14:w="12700" w14:cap="flat" w14:cmpd="sng" w14:algn="ctr">
                  <w14:noFill/>
                  <w14:prstDash w14:val="solid"/>
                  <w14:miter w14:lim="400000"/>
                </w14:textOutline>
              </w:rPr>
              <w:t>q</w:t>
            </w:r>
            <w:r>
              <w:rPr>
                <w:b/>
                <w:bCs/>
                <w:color w:val="FFFFFF"/>
                <w:sz w:val="24"/>
                <w:szCs w:val="24"/>
                <w:u w:color="FFFFFF"/>
                <w:lang w:val="it-IT"/>
                <w14:textOutline w14:w="12700" w14:cap="flat" w14:cmpd="sng" w14:algn="ctr">
                  <w14:noFill/>
                  <w14:prstDash w14:val="solid"/>
                  <w14:miter w14:lim="400000"/>
                </w14:textOutline>
              </w:rPr>
              <w:t>uelle est sa pertinence</w:t>
            </w:r>
            <w:r>
              <w:rPr>
                <w:b/>
                <w:bCs/>
                <w:color w:val="FFFFFF"/>
                <w:sz w:val="24"/>
                <w:szCs w:val="24"/>
                <w:u w:color="FFFFFF"/>
                <w:lang w:val="fr-FR"/>
                <w14:textOutline w14:w="12700" w14:cap="flat" w14:cmpd="sng" w14:algn="ctr">
                  <w14:noFill/>
                  <w14:prstDash w14:val="solid"/>
                  <w14:miter w14:lim="400000"/>
                </w14:textOutline>
              </w:rPr>
              <w:t xml:space="preserve"> ?</w:t>
            </w:r>
          </w:p>
        </w:tc>
      </w:tr>
      <w:tr w:rsidR="00BE4007">
        <w:tblPrEx>
          <w:tblCellMar>
            <w:top w:w="0" w:type="dxa"/>
            <w:left w:w="0" w:type="dxa"/>
            <w:bottom w:w="0" w:type="dxa"/>
            <w:right w:w="0" w:type="dxa"/>
          </w:tblCellMar>
        </w:tblPrEx>
        <w:trPr>
          <w:trHeight w:val="679"/>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C00000"/>
            <w:tcMar>
              <w:top w:w="80" w:type="dxa"/>
              <w:left w:w="80" w:type="dxa"/>
              <w:bottom w:w="80" w:type="dxa"/>
              <w:right w:w="80" w:type="dxa"/>
            </w:tcMar>
            <w:vAlign w:val="center"/>
          </w:tcPr>
          <w:p w:rsidR="00BE4007" w:rsidRDefault="001D7EE7">
            <w:pPr>
              <w:spacing w:after="0" w:line="312" w:lineRule="auto"/>
              <w:jc w:val="left"/>
            </w:pPr>
            <w:r>
              <w:rPr>
                <w:rFonts w:ascii="Arial" w:hAnsi="Arial"/>
                <w:b/>
                <w:bCs/>
                <w:color w:val="FFFFFF"/>
                <w:sz w:val="24"/>
                <w:szCs w:val="24"/>
                <w:u w:color="FFFFFF"/>
                <w:lang w:val="it-IT"/>
                <w14:textOutline w14:w="12700" w14:cap="flat" w14:cmpd="sng" w14:algn="ctr">
                  <w14:noFill/>
                  <w14:prstDash w14:val="solid"/>
                  <w14:miter w14:lim="400000"/>
                </w14:textOutline>
              </w:rPr>
              <w:t xml:space="preserve">Module </w:t>
            </w:r>
            <w:proofErr w:type="gramStart"/>
            <w:r>
              <w:rPr>
                <w:rFonts w:ascii="Arial" w:hAnsi="Arial"/>
                <w:b/>
                <w:bCs/>
                <w:color w:val="FFFFFF"/>
                <w:sz w:val="24"/>
                <w:szCs w:val="24"/>
                <w:u w:color="FFFFFF"/>
                <w:lang w:val="it-IT"/>
                <w14:textOutline w14:w="12700" w14:cap="flat" w14:cmpd="sng" w14:algn="ctr">
                  <w14:noFill/>
                  <w14:prstDash w14:val="solid"/>
                  <w14:miter w14:lim="400000"/>
                </w14:textOutline>
              </w:rPr>
              <w:t>2 :</w:t>
            </w:r>
            <w:proofErr w:type="gramEnd"/>
            <w:r>
              <w:rPr>
                <w:rFonts w:ascii="Arial" w:hAnsi="Arial"/>
                <w:b/>
                <w:bCs/>
                <w:color w:val="FFFFFF"/>
                <w:sz w:val="24"/>
                <w:szCs w:val="24"/>
                <w:u w:color="FFFFFF"/>
                <w:lang w:val="it-IT"/>
                <w14:textOutline w14:w="12700" w14:cap="flat" w14:cmpd="sng" w14:algn="ctr">
                  <w14:noFill/>
                  <w14:prstDash w14:val="solid"/>
                  <w14:miter w14:lim="400000"/>
                </w14:textOutline>
              </w:rPr>
              <w:t xml:space="preserve"> Les </w:t>
            </w:r>
            <w:r>
              <w:rPr>
                <w:rFonts w:ascii="Arial" w:hAnsi="Arial"/>
                <w:b/>
                <w:bCs/>
                <w:color w:val="FFFFFF"/>
                <w:sz w:val="24"/>
                <w:szCs w:val="24"/>
                <w:u w:color="FFFFFF"/>
                <w:lang w:val="it-IT"/>
                <w14:textOutline w14:w="12700" w14:cap="flat" w14:cmpd="sng" w14:algn="ctr">
                  <w14:noFill/>
                  <w14:prstDash w14:val="solid"/>
                  <w14:miter w14:lim="400000"/>
                </w14:textOutline>
              </w:rPr>
              <w:t>principaux probl</w:t>
            </w:r>
            <w:r>
              <w:rPr>
                <w:rFonts w:ascii="Arial" w:hAnsi="Arial"/>
                <w:b/>
                <w:bCs/>
                <w:color w:val="FFFFFF"/>
                <w:sz w:val="24"/>
                <w:szCs w:val="24"/>
                <w:u w:color="FFFFFF"/>
                <w:lang w:val="it-IT"/>
                <w14:textOutline w14:w="12700" w14:cap="flat" w14:cmpd="sng" w14:algn="ctr">
                  <w14:noFill/>
                  <w14:prstDash w14:val="solid"/>
                  <w14:miter w14:lim="400000"/>
                </w14:textOutline>
              </w:rPr>
              <w:t>è</w:t>
            </w:r>
            <w:r>
              <w:rPr>
                <w:rFonts w:ascii="Arial" w:hAnsi="Arial"/>
                <w:b/>
                <w:bCs/>
                <w:color w:val="FFFFFF"/>
                <w:sz w:val="24"/>
                <w:szCs w:val="24"/>
                <w:u w:color="FFFFFF"/>
                <w:lang w:val="it-IT"/>
                <w14:textOutline w14:w="12700" w14:cap="flat" w14:cmpd="sng" w14:algn="ctr">
                  <w14:noFill/>
                  <w14:prstDash w14:val="solid"/>
                  <w14:miter w14:lim="400000"/>
                </w14:textOutline>
              </w:rPr>
              <w:t>mes de sant</w:t>
            </w:r>
            <w:r>
              <w:rPr>
                <w:rFonts w:ascii="Arial" w:hAnsi="Arial"/>
                <w:b/>
                <w:bCs/>
                <w:color w:val="FFFFFF"/>
                <w:sz w:val="24"/>
                <w:szCs w:val="24"/>
                <w:u w:color="FFFFFF"/>
                <w:lang w:val="it-IT"/>
                <w14:textOutline w14:w="12700" w14:cap="flat" w14:cmpd="sng" w14:algn="ctr">
                  <w14:noFill/>
                  <w14:prstDash w14:val="solid"/>
                  <w14:miter w14:lim="400000"/>
                </w14:textOutline>
              </w:rPr>
              <w:t xml:space="preserve">é à </w:t>
            </w:r>
            <w:r>
              <w:rPr>
                <w:rFonts w:ascii="Arial" w:hAnsi="Arial"/>
                <w:b/>
                <w:bCs/>
                <w:color w:val="FFFFFF"/>
                <w:sz w:val="24"/>
                <w:szCs w:val="24"/>
                <w:u w:color="FFFFFF"/>
                <w:lang w:val="it-IT"/>
                <w14:textOutline w14:w="12700" w14:cap="flat" w14:cmpd="sng" w14:algn="ctr">
                  <w14:noFill/>
                  <w14:prstDash w14:val="solid"/>
                  <w14:miter w14:lim="400000"/>
                </w14:textOutline>
              </w:rPr>
              <w:t>l'arriv</w:t>
            </w:r>
            <w:r>
              <w:rPr>
                <w:rFonts w:ascii="Arial" w:hAnsi="Arial"/>
                <w:b/>
                <w:bCs/>
                <w:color w:val="FFFFFF"/>
                <w:sz w:val="24"/>
                <w:szCs w:val="24"/>
                <w:u w:color="FFFFFF"/>
                <w:lang w:val="it-IT"/>
                <w14:textOutline w14:w="12700" w14:cap="flat" w14:cmpd="sng" w14:algn="ctr">
                  <w14:noFill/>
                  <w14:prstDash w14:val="solid"/>
                  <w14:miter w14:lim="400000"/>
                </w14:textOutline>
              </w:rPr>
              <w:t>é</w:t>
            </w:r>
            <w:r>
              <w:rPr>
                <w:rFonts w:ascii="Arial" w:hAnsi="Arial"/>
                <w:b/>
                <w:bCs/>
                <w:color w:val="FFFFFF"/>
                <w:sz w:val="24"/>
                <w:szCs w:val="24"/>
                <w:u w:color="FFFFFF"/>
                <w:lang w:val="it-IT"/>
                <w14:textOutline w14:w="12700" w14:cap="flat" w14:cmpd="sng" w14:algn="ctr">
                  <w14:noFill/>
                  <w14:prstDash w14:val="solid"/>
                  <w14:miter w14:lim="400000"/>
                </w14:textOutline>
              </w:rPr>
              <w:t>e dans un nouveau pays</w:t>
            </w:r>
          </w:p>
        </w:tc>
      </w:tr>
      <w:tr w:rsidR="00BE4007">
        <w:tblPrEx>
          <w:tblCellMar>
            <w:top w:w="0" w:type="dxa"/>
            <w:left w:w="0" w:type="dxa"/>
            <w:bottom w:w="0" w:type="dxa"/>
            <w:right w:w="0" w:type="dxa"/>
          </w:tblCellMar>
        </w:tblPrEx>
        <w:trPr>
          <w:trHeight w:val="392"/>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80" w:type="dxa"/>
              <w:left w:w="80" w:type="dxa"/>
              <w:bottom w:w="80" w:type="dxa"/>
              <w:right w:w="80" w:type="dxa"/>
            </w:tcMar>
            <w:vAlign w:val="center"/>
          </w:tcPr>
          <w:p w:rsidR="00BE4007" w:rsidRDefault="001D7EE7">
            <w:pPr>
              <w:spacing w:after="0" w:line="312" w:lineRule="auto"/>
              <w:jc w:val="left"/>
            </w:pPr>
            <w:r>
              <w:rPr>
                <w:rFonts w:ascii="Arial" w:hAnsi="Arial"/>
                <w:b/>
                <w:bCs/>
                <w:color w:val="FFFFFF"/>
                <w:sz w:val="24"/>
                <w:szCs w:val="24"/>
                <w:u w:color="FFFFFF"/>
                <w:lang w:val="it-IT"/>
                <w14:textOutline w14:w="12700" w14:cap="flat" w14:cmpd="sng" w14:algn="ctr">
                  <w14:noFill/>
                  <w14:prstDash w14:val="solid"/>
                  <w14:miter w14:lim="400000"/>
                </w14:textOutline>
              </w:rPr>
              <w:t xml:space="preserve">Module </w:t>
            </w:r>
            <w:proofErr w:type="gramStart"/>
            <w:r>
              <w:rPr>
                <w:rFonts w:ascii="Arial" w:hAnsi="Arial"/>
                <w:b/>
                <w:bCs/>
                <w:color w:val="FFFFFF"/>
                <w:sz w:val="24"/>
                <w:szCs w:val="24"/>
                <w:u w:color="FFFFFF"/>
                <w:lang w:val="it-IT"/>
                <w14:textOutline w14:w="12700" w14:cap="flat" w14:cmpd="sng" w14:algn="ctr">
                  <w14:noFill/>
                  <w14:prstDash w14:val="solid"/>
                  <w14:miter w14:lim="400000"/>
                </w14:textOutline>
              </w:rPr>
              <w:t>3 :</w:t>
            </w:r>
            <w:proofErr w:type="gramEnd"/>
            <w:r>
              <w:rPr>
                <w:rFonts w:ascii="Arial" w:hAnsi="Arial"/>
                <w:b/>
                <w:bCs/>
                <w:color w:val="FFFFFF"/>
                <w:sz w:val="24"/>
                <w:szCs w:val="24"/>
                <w:u w:color="FFFFFF"/>
                <w:lang w:val="it-IT"/>
                <w14:textOutline w14:w="12700" w14:cap="flat" w14:cmpd="sng" w14:algn="ctr">
                  <w14:noFill/>
                  <w14:prstDash w14:val="solid"/>
                  <w14:miter w14:lim="400000"/>
                </w14:textOutline>
              </w:rPr>
              <w:t xml:space="preserve"> Les services nationaux de sant</w:t>
            </w:r>
            <w:r>
              <w:rPr>
                <w:rFonts w:ascii="Arial" w:hAnsi="Arial"/>
                <w:b/>
                <w:bCs/>
                <w:color w:val="FFFFFF"/>
                <w:sz w:val="24"/>
                <w:szCs w:val="24"/>
                <w:u w:color="FFFFFF"/>
                <w:lang w:val="it-IT"/>
                <w14:textOutline w14:w="12700" w14:cap="flat" w14:cmpd="sng" w14:algn="ctr">
                  <w14:noFill/>
                  <w14:prstDash w14:val="solid"/>
                  <w14:miter w14:lim="400000"/>
                </w14:textOutline>
              </w:rPr>
              <w:t>é</w:t>
            </w:r>
          </w:p>
        </w:tc>
      </w:tr>
      <w:tr w:rsidR="00BE4007">
        <w:tblPrEx>
          <w:tblCellMar>
            <w:top w:w="0" w:type="dxa"/>
            <w:left w:w="0" w:type="dxa"/>
            <w:bottom w:w="0" w:type="dxa"/>
            <w:right w:w="0" w:type="dxa"/>
          </w:tblCellMar>
        </w:tblPrEx>
        <w:trPr>
          <w:trHeight w:val="392"/>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80" w:type="dxa"/>
              <w:left w:w="80" w:type="dxa"/>
              <w:bottom w:w="80" w:type="dxa"/>
              <w:right w:w="80" w:type="dxa"/>
            </w:tcMar>
            <w:vAlign w:val="center"/>
          </w:tcPr>
          <w:p w:rsidR="00BE4007" w:rsidRDefault="001D7EE7">
            <w:pPr>
              <w:spacing w:after="0" w:line="312" w:lineRule="auto"/>
              <w:jc w:val="left"/>
            </w:pPr>
            <w:r>
              <w:rPr>
                <w:b/>
                <w:bCs/>
                <w:color w:val="FFFFFF"/>
                <w:sz w:val="24"/>
                <w:szCs w:val="24"/>
                <w:u w:color="FFFFFF"/>
                <w:lang w:val="fr-FR"/>
                <w14:textOutline w14:w="12700" w14:cap="flat" w14:cmpd="sng" w14:algn="ctr">
                  <w14:noFill/>
                  <w14:prstDash w14:val="solid"/>
                  <w14:miter w14:lim="400000"/>
                </w14:textOutline>
              </w:rPr>
              <w:t>Module</w:t>
            </w:r>
            <w:r>
              <w:rPr>
                <w:rFonts w:ascii="Arial" w:hAnsi="Arial"/>
                <w:b/>
                <w:bCs/>
                <w:color w:val="FFFFFF"/>
                <w:sz w:val="24"/>
                <w:szCs w:val="24"/>
                <w:u w:color="FFFFFF"/>
                <w:lang w:val="fr-FR"/>
                <w14:textOutline w14:w="12700" w14:cap="flat" w14:cmpd="sng" w14:algn="ctr">
                  <w14:noFill/>
                  <w14:prstDash w14:val="solid"/>
                  <w14:miter w14:lim="400000"/>
                </w14:textOutline>
              </w:rPr>
              <w:t xml:space="preserve"> 4 : D</w:t>
            </w:r>
            <w:r>
              <w:rPr>
                <w:rFonts w:ascii="Arial" w:hAnsi="Arial"/>
                <w:b/>
                <w:bCs/>
                <w:color w:val="FFFFFF"/>
                <w:sz w:val="24"/>
                <w:szCs w:val="24"/>
                <w:u w:color="FFFFFF"/>
                <w:lang w:val="fr-FR"/>
                <w14:textOutline w14:w="12700" w14:cap="flat" w14:cmpd="sng" w14:algn="ctr">
                  <w14:noFill/>
                  <w14:prstDash w14:val="solid"/>
                  <w14:miter w14:lim="400000"/>
                </w14:textOutline>
              </w:rPr>
              <w:t>é</w:t>
            </w:r>
            <w:r>
              <w:rPr>
                <w:rFonts w:ascii="Arial" w:hAnsi="Arial"/>
                <w:b/>
                <w:bCs/>
                <w:color w:val="FFFFFF"/>
                <w:sz w:val="24"/>
                <w:szCs w:val="24"/>
                <w:u w:color="FFFFFF"/>
                <w:lang w:val="fr-FR"/>
                <w14:textOutline w14:w="12700" w14:cap="flat" w14:cmpd="sng" w14:algn="ctr">
                  <w14:noFill/>
                  <w14:prstDash w14:val="solid"/>
                  <w14:miter w14:lim="400000"/>
                </w14:textOutline>
              </w:rPr>
              <w:t>velopper ses connaissances num</w:t>
            </w:r>
            <w:r>
              <w:rPr>
                <w:rFonts w:ascii="Arial" w:hAnsi="Arial"/>
                <w:b/>
                <w:bCs/>
                <w:color w:val="FFFFFF"/>
                <w:sz w:val="24"/>
                <w:szCs w:val="24"/>
                <w:u w:color="FFFFFF"/>
                <w:lang w:val="fr-FR"/>
                <w14:textOutline w14:w="12700" w14:cap="flat" w14:cmpd="sng" w14:algn="ctr">
                  <w14:noFill/>
                  <w14:prstDash w14:val="solid"/>
                  <w14:miter w14:lim="400000"/>
                </w14:textOutline>
              </w:rPr>
              <w:t>é</w:t>
            </w:r>
            <w:r>
              <w:rPr>
                <w:rFonts w:ascii="Arial" w:hAnsi="Arial"/>
                <w:b/>
                <w:bCs/>
                <w:color w:val="FFFFFF"/>
                <w:sz w:val="24"/>
                <w:szCs w:val="24"/>
                <w:u w:color="FFFFFF"/>
                <w:lang w:val="fr-FR"/>
                <w14:textOutline w14:w="12700" w14:cap="flat" w14:cmpd="sng" w14:algn="ctr">
                  <w14:noFill/>
                  <w14:prstDash w14:val="solid"/>
                  <w14:miter w14:lim="400000"/>
                </w14:textOutline>
              </w:rPr>
              <w:t>rique</w:t>
            </w:r>
          </w:p>
        </w:tc>
      </w:tr>
      <w:tr w:rsidR="00BE4007">
        <w:tblPrEx>
          <w:tblCellMar>
            <w:top w:w="0" w:type="dxa"/>
            <w:left w:w="0" w:type="dxa"/>
            <w:bottom w:w="0" w:type="dxa"/>
            <w:right w:w="0" w:type="dxa"/>
          </w:tblCellMar>
        </w:tblPrEx>
        <w:trPr>
          <w:trHeight w:val="392"/>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80" w:type="dxa"/>
              <w:left w:w="80" w:type="dxa"/>
              <w:bottom w:w="80" w:type="dxa"/>
              <w:right w:w="80" w:type="dxa"/>
            </w:tcMar>
            <w:vAlign w:val="center"/>
          </w:tcPr>
          <w:p w:rsidR="00BE4007" w:rsidRDefault="001D7EE7">
            <w:pPr>
              <w:spacing w:after="0" w:line="312" w:lineRule="auto"/>
              <w:jc w:val="left"/>
            </w:pPr>
            <w:r>
              <w:rPr>
                <w:b/>
                <w:bCs/>
                <w:color w:val="FFFFFF"/>
                <w:sz w:val="24"/>
                <w:szCs w:val="24"/>
                <w:u w:color="FFFFFF"/>
                <w:lang w:val="fr-FR"/>
                <w14:textOutline w14:w="12700" w14:cap="flat" w14:cmpd="sng" w14:algn="ctr">
                  <w14:noFill/>
                  <w14:prstDash w14:val="solid"/>
                  <w14:miter w14:lim="400000"/>
                </w14:textOutline>
              </w:rPr>
              <w:t>Module 5 : D</w:t>
            </w:r>
            <w:r>
              <w:rPr>
                <w:b/>
                <w:bCs/>
                <w:color w:val="FFFFFF"/>
                <w:sz w:val="24"/>
                <w:szCs w:val="24"/>
                <w:u w:color="FFFFFF"/>
                <w:lang w:val="fr-FR"/>
                <w14:textOutline w14:w="12700" w14:cap="flat" w14:cmpd="sng" w14:algn="ctr">
                  <w14:noFill/>
                  <w14:prstDash w14:val="solid"/>
                  <w14:miter w14:lim="400000"/>
                </w14:textOutline>
              </w:rPr>
              <w:t>é</w:t>
            </w:r>
            <w:r>
              <w:rPr>
                <w:b/>
                <w:bCs/>
                <w:color w:val="FFFFFF"/>
                <w:sz w:val="24"/>
                <w:szCs w:val="24"/>
                <w:u w:color="FFFFFF"/>
                <w:lang w:val="fr-FR"/>
                <w14:textOutline w14:w="12700" w14:cap="flat" w14:cmpd="sng" w14:algn="ctr">
                  <w14:noFill/>
                  <w14:prstDash w14:val="solid"/>
                  <w14:miter w14:lim="400000"/>
                </w14:textOutline>
              </w:rPr>
              <w:t>couvrir les outils de sant</w:t>
            </w:r>
            <w:r>
              <w:rPr>
                <w:b/>
                <w:bCs/>
                <w:color w:val="FFFFFF"/>
                <w:sz w:val="24"/>
                <w:szCs w:val="24"/>
                <w:u w:color="FFFFFF"/>
                <w:lang w:val="fr-FR"/>
                <w14:textOutline w14:w="12700" w14:cap="flat" w14:cmpd="sng" w14:algn="ctr">
                  <w14:noFill/>
                  <w14:prstDash w14:val="solid"/>
                  <w14:miter w14:lim="400000"/>
                </w14:textOutline>
              </w:rPr>
              <w:t xml:space="preserve">é </w:t>
            </w:r>
            <w:r>
              <w:rPr>
                <w:b/>
                <w:bCs/>
                <w:color w:val="FFFFFF"/>
                <w:sz w:val="24"/>
                <w:szCs w:val="24"/>
                <w:u w:color="FFFFFF"/>
                <w:lang w:val="fr-FR"/>
                <w14:textOutline w14:w="12700" w14:cap="flat" w14:cmpd="sng" w14:algn="ctr">
                  <w14:noFill/>
                  <w14:prstDash w14:val="solid"/>
                  <w14:miter w14:lim="400000"/>
                </w14:textOutline>
              </w:rPr>
              <w:t>num</w:t>
            </w:r>
            <w:r>
              <w:rPr>
                <w:b/>
                <w:bCs/>
                <w:color w:val="FFFFFF"/>
                <w:sz w:val="24"/>
                <w:szCs w:val="24"/>
                <w:u w:color="FFFFFF"/>
                <w:lang w:val="fr-FR"/>
                <w14:textOutline w14:w="12700" w14:cap="flat" w14:cmpd="sng" w14:algn="ctr">
                  <w14:noFill/>
                  <w14:prstDash w14:val="solid"/>
                  <w14:miter w14:lim="400000"/>
                </w14:textOutline>
              </w:rPr>
              <w:t>é</w:t>
            </w:r>
            <w:r>
              <w:rPr>
                <w:b/>
                <w:bCs/>
                <w:color w:val="FFFFFF"/>
                <w:sz w:val="24"/>
                <w:szCs w:val="24"/>
                <w:u w:color="FFFFFF"/>
                <w:lang w:val="fr-FR"/>
                <w14:textOutline w14:w="12700" w14:cap="flat" w14:cmpd="sng" w14:algn="ctr">
                  <w14:noFill/>
                  <w14:prstDash w14:val="solid"/>
                  <w14:miter w14:lim="400000"/>
                </w14:textOutline>
              </w:rPr>
              <w:t>rique</w:t>
            </w:r>
          </w:p>
        </w:tc>
      </w:tr>
      <w:tr w:rsidR="00BE4007">
        <w:tblPrEx>
          <w:tblCellMar>
            <w:top w:w="0" w:type="dxa"/>
            <w:left w:w="0" w:type="dxa"/>
            <w:bottom w:w="0" w:type="dxa"/>
            <w:right w:w="0" w:type="dxa"/>
          </w:tblCellMar>
        </w:tblPrEx>
        <w:trPr>
          <w:trHeight w:val="392"/>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80" w:type="dxa"/>
              <w:left w:w="80" w:type="dxa"/>
              <w:bottom w:w="80" w:type="dxa"/>
              <w:right w:w="80" w:type="dxa"/>
            </w:tcMar>
            <w:vAlign w:val="center"/>
          </w:tcPr>
          <w:p w:rsidR="00BE4007" w:rsidRDefault="001D7EE7">
            <w:pPr>
              <w:spacing w:after="0" w:line="312" w:lineRule="auto"/>
              <w:jc w:val="left"/>
            </w:pPr>
            <w:r>
              <w:rPr>
                <w:b/>
                <w:bCs/>
                <w:color w:val="FFFFFF"/>
                <w:sz w:val="24"/>
                <w:szCs w:val="24"/>
                <w:u w:color="FFFFFF"/>
                <w:lang w:val="fr-FR"/>
                <w14:textOutline w14:w="12700" w14:cap="flat" w14:cmpd="sng" w14:algn="ctr">
                  <w14:noFill/>
                  <w14:prstDash w14:val="solid"/>
                  <w14:miter w14:lim="400000"/>
                </w14:textOutline>
              </w:rPr>
              <w:t xml:space="preserve">Module 6 : </w:t>
            </w:r>
            <w:r>
              <w:rPr>
                <w:b/>
                <w:bCs/>
                <w:color w:val="FFFFFF"/>
                <w:sz w:val="24"/>
                <w:szCs w:val="24"/>
                <w:u w:color="FFFFFF"/>
                <w:lang w:val="fr-FR"/>
                <w14:textOutline w14:w="12700" w14:cap="flat" w14:cmpd="sng" w14:algn="ctr">
                  <w14:noFill/>
                  <w14:prstDash w14:val="solid"/>
                  <w14:miter w14:lim="400000"/>
                </w14:textOutline>
              </w:rPr>
              <w:t>Ê</w:t>
            </w:r>
            <w:r>
              <w:rPr>
                <w:b/>
                <w:bCs/>
                <w:color w:val="FFFFFF"/>
                <w:sz w:val="24"/>
                <w:szCs w:val="24"/>
                <w:u w:color="FFFFFF"/>
                <w:lang w:val="fr-FR"/>
                <w14:textOutline w14:w="12700" w14:cap="flat" w14:cmpd="sng" w14:algn="ctr">
                  <w14:noFill/>
                  <w14:prstDash w14:val="solid"/>
                  <w14:miter w14:lim="400000"/>
                </w14:textOutline>
              </w:rPr>
              <w:t>tre actif dans l</w:t>
            </w:r>
            <w:r>
              <w:rPr>
                <w:b/>
                <w:bCs/>
                <w:color w:val="FFFFFF"/>
                <w:sz w:val="24"/>
                <w:szCs w:val="24"/>
                <w:u w:color="FFFFFF"/>
                <w:lang w:val="fr-FR"/>
                <w14:textOutline w14:w="12700" w14:cap="flat" w14:cmpd="sng" w14:algn="ctr">
                  <w14:noFill/>
                  <w14:prstDash w14:val="solid"/>
                  <w14:miter w14:lim="400000"/>
                </w14:textOutline>
              </w:rPr>
              <w:t>’</w:t>
            </w:r>
            <w:r>
              <w:rPr>
                <w:b/>
                <w:bCs/>
                <w:color w:val="FFFFFF"/>
                <w:sz w:val="24"/>
                <w:szCs w:val="24"/>
                <w:u w:color="FFFFFF"/>
                <w:lang w:val="fr-FR"/>
                <w14:textOutline w14:w="12700" w14:cap="flat" w14:cmpd="sng" w14:algn="ctr">
                  <w14:noFill/>
                  <w14:prstDash w14:val="solid"/>
                  <w14:miter w14:lim="400000"/>
                </w14:textOutline>
              </w:rPr>
              <w:t>environnement de la sant</w:t>
            </w:r>
            <w:r>
              <w:rPr>
                <w:b/>
                <w:bCs/>
                <w:color w:val="FFFFFF"/>
                <w:sz w:val="24"/>
                <w:szCs w:val="24"/>
                <w:u w:color="FFFFFF"/>
                <w:lang w:val="fr-FR"/>
                <w14:textOutline w14:w="12700" w14:cap="flat" w14:cmpd="sng" w14:algn="ctr">
                  <w14:noFill/>
                  <w14:prstDash w14:val="solid"/>
                  <w14:miter w14:lim="400000"/>
                </w14:textOutline>
              </w:rPr>
              <w:t xml:space="preserve">é </w:t>
            </w:r>
            <w:r>
              <w:rPr>
                <w:b/>
                <w:bCs/>
                <w:color w:val="FFFFFF"/>
                <w:sz w:val="24"/>
                <w:szCs w:val="24"/>
                <w:u w:color="FFFFFF"/>
                <w:lang w:val="fr-FR"/>
                <w14:textOutline w14:w="12700" w14:cap="flat" w14:cmpd="sng" w14:algn="ctr">
                  <w14:noFill/>
                  <w14:prstDash w14:val="solid"/>
                  <w14:miter w14:lim="400000"/>
                </w14:textOutline>
              </w:rPr>
              <w:t>num</w:t>
            </w:r>
            <w:r>
              <w:rPr>
                <w:b/>
                <w:bCs/>
                <w:color w:val="FFFFFF"/>
                <w:sz w:val="24"/>
                <w:szCs w:val="24"/>
                <w:u w:color="FFFFFF"/>
                <w:lang w:val="fr-FR"/>
                <w14:textOutline w14:w="12700" w14:cap="flat" w14:cmpd="sng" w14:algn="ctr">
                  <w14:noFill/>
                  <w14:prstDash w14:val="solid"/>
                  <w14:miter w14:lim="400000"/>
                </w14:textOutline>
              </w:rPr>
              <w:t>é</w:t>
            </w:r>
            <w:r>
              <w:rPr>
                <w:b/>
                <w:bCs/>
                <w:color w:val="FFFFFF"/>
                <w:sz w:val="24"/>
                <w:szCs w:val="24"/>
                <w:u w:color="FFFFFF"/>
                <w:lang w:val="fr-FR"/>
                <w14:textOutline w14:w="12700" w14:cap="flat" w14:cmpd="sng" w14:algn="ctr">
                  <w14:noFill/>
                  <w14:prstDash w14:val="solid"/>
                  <w14:miter w14:lim="400000"/>
                </w14:textOutline>
              </w:rPr>
              <w:t>rique</w:t>
            </w:r>
          </w:p>
        </w:tc>
      </w:tr>
    </w:tbl>
    <w:p w:rsidR="00BE4007" w:rsidRDefault="00BE4007">
      <w:pPr>
        <w:keepNext/>
        <w:keepLines/>
        <w:widowControl w:val="0"/>
        <w:spacing w:before="280" w:after="480" w:line="240" w:lineRule="auto"/>
        <w:jc w:val="center"/>
        <w:rPr>
          <w:color w:val="2F5496"/>
          <w:sz w:val="32"/>
          <w:szCs w:val="32"/>
          <w:u w:color="2F5496"/>
          <w:lang w:val="it-IT"/>
        </w:rPr>
      </w:pPr>
    </w:p>
    <w:p w:rsidR="00BE4007" w:rsidRDefault="001D7EE7">
      <w:pPr>
        <w:spacing w:after="0" w:line="240" w:lineRule="auto"/>
        <w:rPr>
          <w:rStyle w:val="Nessuno"/>
          <w:rFonts w:eastAsia="Calibri" w:cs="Calibri"/>
          <w:sz w:val="20"/>
          <w:szCs w:val="20"/>
          <w14:textOutline w14:w="0" w14:cap="flat" w14:cmpd="sng" w14:algn="ctr">
            <w14:noFill/>
            <w14:prstDash w14:val="solid"/>
            <w14:bevel/>
          </w14:textOutline>
        </w:rPr>
      </w:pPr>
      <w:r>
        <w:rPr>
          <w:sz w:val="24"/>
          <w:szCs w:val="24"/>
          <w:lang w:val="es-ES_tradnl"/>
          <w14:textOutline w14:w="0" w14:cap="flat" w14:cmpd="sng" w14:algn="ctr">
            <w14:noFill/>
            <w14:prstDash w14:val="solid"/>
            <w14:bevel/>
          </w14:textOutline>
        </w:rPr>
        <w:t xml:space="preserve">De plus amples informations sont disponibles sur le site Web: </w:t>
      </w:r>
      <w:hyperlink r:id="rId17" w:history="1">
        <w:r>
          <w:rPr>
            <w:rStyle w:val="Hyperlink0"/>
            <w:sz w:val="20"/>
            <w:szCs w:val="20"/>
            <w14:textOutline w14:w="0" w14:cap="flat" w14:cmpd="sng" w14:algn="ctr">
              <w14:noFill/>
              <w14:prstDash w14:val="solid"/>
              <w14:bevel/>
            </w14:textOutline>
          </w:rPr>
          <w:t xml:space="preserve">MIG-DHL </w:t>
        </w:r>
        <w:r>
          <w:rPr>
            <w:rStyle w:val="Hyperlink0"/>
            <w:sz w:val="20"/>
            <w:szCs w:val="20"/>
            <w14:textOutline w14:w="0" w14:cap="flat" w14:cmpd="sng" w14:algn="ctr">
              <w14:noFill/>
              <w14:prstDash w14:val="solid"/>
              <w14:bevel/>
            </w14:textOutline>
          </w:rPr>
          <w:t xml:space="preserve">– </w:t>
        </w:r>
        <w:r>
          <w:rPr>
            <w:rStyle w:val="Hyperlink0"/>
            <w:sz w:val="20"/>
            <w:szCs w:val="20"/>
            <w14:textOutline w14:w="0" w14:cap="flat" w14:cmpd="sng" w14:algn="ctr">
              <w14:noFill/>
              <w14:prstDash w14:val="solid"/>
              <w14:bevel/>
            </w14:textOutline>
          </w:rPr>
          <w:t>Development of a training program for improving Digital Health Literacy of migrants</w:t>
        </w:r>
      </w:hyperlink>
    </w:p>
    <w:p w:rsidR="00BE4007" w:rsidRDefault="00BE4007">
      <w:pPr>
        <w:keepNext/>
        <w:spacing w:after="0" w:line="240" w:lineRule="auto"/>
        <w:jc w:val="center"/>
        <w:outlineLvl w:val="1"/>
        <w:rPr>
          <w:rStyle w:val="Nessuno"/>
          <w:b/>
          <w:bCs/>
          <w:i/>
          <w:iCs/>
          <w:sz w:val="24"/>
          <w:szCs w:val="24"/>
          <w:lang w:val="de-DE"/>
          <w14:textOutline w14:w="12700" w14:cap="flat" w14:cmpd="sng" w14:algn="ctr">
            <w14:noFill/>
            <w14:prstDash w14:val="solid"/>
            <w14:miter w14:lim="400000"/>
          </w14:textOutline>
        </w:rPr>
      </w:pPr>
    </w:p>
    <w:p w:rsidR="00BE4007" w:rsidRDefault="00BE4007">
      <w:pPr>
        <w:keepNext/>
        <w:spacing w:after="0" w:line="240" w:lineRule="auto"/>
        <w:jc w:val="center"/>
        <w:outlineLvl w:val="1"/>
        <w:rPr>
          <w:rStyle w:val="Nessuno"/>
          <w:b/>
          <w:bCs/>
          <w:i/>
          <w:iCs/>
          <w:sz w:val="24"/>
          <w:szCs w:val="24"/>
          <w:lang w:val="de-DE"/>
          <w14:textOutline w14:w="12700" w14:cap="flat" w14:cmpd="sng" w14:algn="ctr">
            <w14:noFill/>
            <w14:prstDash w14:val="solid"/>
            <w14:miter w14:lim="400000"/>
          </w14:textOutline>
        </w:rPr>
      </w:pPr>
    </w:p>
    <w:p w:rsidR="00BE4007" w:rsidRDefault="00BE4007">
      <w:pPr>
        <w:keepNext/>
        <w:spacing w:after="0" w:line="240" w:lineRule="auto"/>
        <w:jc w:val="center"/>
        <w:outlineLvl w:val="1"/>
        <w:rPr>
          <w:rStyle w:val="Nessuno"/>
          <w:b/>
          <w:bCs/>
          <w:i/>
          <w:iCs/>
          <w:sz w:val="24"/>
          <w:szCs w:val="24"/>
          <w:lang w:val="de-DE"/>
          <w14:textOutline w14:w="12700" w14:cap="flat" w14:cmpd="sng" w14:algn="ctr">
            <w14:noFill/>
            <w14:prstDash w14:val="solid"/>
            <w14:miter w14:lim="400000"/>
          </w14:textOutline>
        </w:rPr>
      </w:pPr>
    </w:p>
    <w:p w:rsidR="00BE4007" w:rsidRDefault="00BE4007">
      <w:pPr>
        <w:spacing w:after="0" w:line="240" w:lineRule="auto"/>
        <w:jc w:val="center"/>
        <w:rPr>
          <w:rStyle w:val="Nessuno"/>
          <w:rFonts w:eastAsia="Calibri" w:cs="Calibri"/>
          <w:color w:val="365B9D"/>
          <w:sz w:val="20"/>
          <w:szCs w:val="20"/>
          <w14:textOutline w14:w="12700" w14:cap="flat" w14:cmpd="sng" w14:algn="ctr">
            <w14:noFill/>
            <w14:prstDash w14:val="solid"/>
            <w14:miter w14:lim="400000"/>
          </w14:textOutline>
        </w:rPr>
      </w:pPr>
    </w:p>
    <w:p w:rsidR="00BE4007" w:rsidRDefault="00BE4007">
      <w:pPr>
        <w:spacing w:after="0" w:line="240" w:lineRule="auto"/>
        <w:jc w:val="center"/>
        <w:rPr>
          <w:rStyle w:val="Nessuno"/>
          <w:rFonts w:eastAsia="Calibri" w:cs="Calibri"/>
          <w:color w:val="365B9D"/>
          <w:sz w:val="20"/>
          <w:szCs w:val="20"/>
          <w14:textOutline w14:w="12700" w14:cap="flat" w14:cmpd="sng" w14:algn="ctr">
            <w14:noFill/>
            <w14:prstDash w14:val="solid"/>
            <w14:miter w14:lim="400000"/>
          </w14:textOutline>
        </w:rPr>
      </w:pPr>
    </w:p>
    <w:p w:rsidR="00BE4007" w:rsidRDefault="00BE4007">
      <w:pPr>
        <w:spacing w:after="0" w:line="240" w:lineRule="auto"/>
        <w:jc w:val="center"/>
        <w:rPr>
          <w:rStyle w:val="Nessuno"/>
          <w:rFonts w:eastAsia="Calibri" w:cs="Calibri"/>
          <w:color w:val="365B9D"/>
          <w:sz w:val="20"/>
          <w:szCs w:val="20"/>
          <w14:textOutline w14:w="12700" w14:cap="flat" w14:cmpd="sng" w14:algn="ctr">
            <w14:noFill/>
            <w14:prstDash w14:val="solid"/>
            <w14:miter w14:lim="400000"/>
          </w14:textOutline>
        </w:rPr>
      </w:pPr>
    </w:p>
    <w:p w:rsidR="00BE4007" w:rsidRDefault="00BE4007">
      <w:pPr>
        <w:spacing w:after="0" w:line="240" w:lineRule="auto"/>
        <w:jc w:val="center"/>
        <w:rPr>
          <w:rStyle w:val="Nessuno"/>
          <w:rFonts w:eastAsia="Calibri" w:cs="Calibri"/>
          <w:color w:val="365B9D"/>
          <w:sz w:val="20"/>
          <w:szCs w:val="20"/>
          <w14:textOutline w14:w="12700" w14:cap="flat" w14:cmpd="sng" w14:algn="ctr">
            <w14:noFill/>
            <w14:prstDash w14:val="solid"/>
            <w14:miter w14:lim="400000"/>
          </w14:textOutline>
        </w:rPr>
      </w:pPr>
    </w:p>
    <w:p w:rsidR="00BE4007" w:rsidRDefault="00BE4007">
      <w:pPr>
        <w:spacing w:after="0" w:line="240" w:lineRule="auto"/>
        <w:jc w:val="center"/>
        <w:rPr>
          <w:rStyle w:val="Nessuno"/>
          <w:rFonts w:eastAsia="Calibri" w:cs="Calibri"/>
          <w:color w:val="365B9D"/>
          <w:sz w:val="20"/>
          <w:szCs w:val="20"/>
          <w14:textOutline w14:w="12700" w14:cap="flat" w14:cmpd="sng" w14:algn="ctr">
            <w14:noFill/>
            <w14:prstDash w14:val="solid"/>
            <w14:miter w14:lim="400000"/>
          </w14:textOutline>
        </w:rPr>
      </w:pPr>
    </w:p>
    <w:p w:rsidR="00BE4007" w:rsidRDefault="00BE4007">
      <w:pPr>
        <w:spacing w:after="0" w:line="240" w:lineRule="auto"/>
        <w:jc w:val="center"/>
        <w:rPr>
          <w:rStyle w:val="Nessuno"/>
          <w:rFonts w:eastAsia="Calibri" w:cs="Calibri"/>
          <w:color w:val="365B9D"/>
          <w:sz w:val="20"/>
          <w:szCs w:val="20"/>
          <w14:textOutline w14:w="12700" w14:cap="flat" w14:cmpd="sng" w14:algn="ctr">
            <w14:noFill/>
            <w14:prstDash w14:val="solid"/>
            <w14:miter w14:lim="400000"/>
          </w14:textOutline>
        </w:rPr>
      </w:pPr>
    </w:p>
    <w:p w:rsidR="00BE4007" w:rsidRDefault="00BE4007">
      <w:pPr>
        <w:spacing w:after="0" w:line="240" w:lineRule="auto"/>
        <w:jc w:val="center"/>
        <w:rPr>
          <w:rStyle w:val="Nessuno"/>
          <w:rFonts w:eastAsia="Calibri" w:cs="Calibri"/>
          <w:color w:val="365B9D"/>
          <w:sz w:val="20"/>
          <w:szCs w:val="20"/>
          <w14:textOutline w14:w="12700" w14:cap="flat" w14:cmpd="sng" w14:algn="ctr">
            <w14:noFill/>
            <w14:prstDash w14:val="solid"/>
            <w14:miter w14:lim="400000"/>
          </w14:textOutline>
        </w:rPr>
      </w:pPr>
    </w:p>
    <w:p w:rsidR="00BE4007" w:rsidRDefault="00BE4007">
      <w:pPr>
        <w:spacing w:after="0" w:line="240" w:lineRule="auto"/>
        <w:jc w:val="center"/>
        <w:rPr>
          <w:rStyle w:val="Nessuno"/>
          <w:rFonts w:eastAsia="Calibri" w:cs="Calibri"/>
          <w:color w:val="365B9D"/>
          <w:sz w:val="20"/>
          <w:szCs w:val="20"/>
          <w14:textOutline w14:w="12700" w14:cap="flat" w14:cmpd="sng" w14:algn="ctr">
            <w14:noFill/>
            <w14:prstDash w14:val="solid"/>
            <w14:miter w14:lim="400000"/>
          </w14:textOutline>
        </w:rPr>
      </w:pPr>
    </w:p>
    <w:p w:rsidR="00BE4007" w:rsidRDefault="00BE4007">
      <w:pPr>
        <w:spacing w:after="0" w:line="240" w:lineRule="auto"/>
        <w:jc w:val="center"/>
        <w:rPr>
          <w:rStyle w:val="Nessuno"/>
          <w:rFonts w:eastAsia="Calibri" w:cs="Calibri"/>
          <w:color w:val="365B9D"/>
          <w:sz w:val="20"/>
          <w:szCs w:val="20"/>
          <w14:textOutline w14:w="12700" w14:cap="flat" w14:cmpd="sng" w14:algn="ctr">
            <w14:noFill/>
            <w14:prstDash w14:val="solid"/>
            <w14:miter w14:lim="400000"/>
          </w14:textOutline>
        </w:rPr>
      </w:pPr>
    </w:p>
    <w:p w:rsidR="00BE4007" w:rsidRDefault="00BE4007">
      <w:pPr>
        <w:spacing w:after="0" w:line="240" w:lineRule="auto"/>
        <w:jc w:val="center"/>
        <w:rPr>
          <w:rStyle w:val="Nessuno"/>
          <w:rFonts w:eastAsia="Calibri" w:cs="Calibri"/>
          <w:color w:val="365B9D"/>
          <w:sz w:val="20"/>
          <w:szCs w:val="20"/>
          <w14:textOutline w14:w="12700" w14:cap="flat" w14:cmpd="sng" w14:algn="ctr">
            <w14:noFill/>
            <w14:prstDash w14:val="solid"/>
            <w14:miter w14:lim="400000"/>
          </w14:textOutline>
        </w:rPr>
      </w:pPr>
    </w:p>
    <w:p w:rsidR="00BE4007" w:rsidRDefault="00BE4007">
      <w:pPr>
        <w:spacing w:after="0" w:line="240" w:lineRule="auto"/>
        <w:jc w:val="center"/>
        <w:rPr>
          <w:rStyle w:val="Nessuno"/>
          <w:rFonts w:eastAsia="Calibri" w:cs="Calibri"/>
          <w:color w:val="365B9D"/>
          <w:sz w:val="20"/>
          <w:szCs w:val="20"/>
          <w14:textOutline w14:w="12700" w14:cap="flat" w14:cmpd="sng" w14:algn="ctr">
            <w14:noFill/>
            <w14:prstDash w14:val="solid"/>
            <w14:miter w14:lim="400000"/>
          </w14:textOutline>
        </w:rPr>
      </w:pPr>
    </w:p>
    <w:p w:rsidR="00BE4007" w:rsidRDefault="00BE4007">
      <w:pPr>
        <w:spacing w:after="0" w:line="240" w:lineRule="auto"/>
        <w:jc w:val="center"/>
        <w:rPr>
          <w:rStyle w:val="Nessuno"/>
          <w:rFonts w:eastAsia="Calibri" w:cs="Calibri"/>
          <w:color w:val="365B9D"/>
          <w:sz w:val="20"/>
          <w:szCs w:val="20"/>
          <w14:textOutline w14:w="12700" w14:cap="flat" w14:cmpd="sng" w14:algn="ctr">
            <w14:noFill/>
            <w14:prstDash w14:val="solid"/>
            <w14:miter w14:lim="400000"/>
          </w14:textOutline>
        </w:rPr>
      </w:pPr>
    </w:p>
    <w:p w:rsidR="00BE4007" w:rsidRDefault="00BE4007">
      <w:pPr>
        <w:spacing w:after="0" w:line="240" w:lineRule="auto"/>
        <w:jc w:val="center"/>
        <w:rPr>
          <w:rStyle w:val="Nessuno"/>
          <w:rFonts w:eastAsia="Calibri" w:cs="Calibri"/>
          <w:color w:val="365B9D"/>
          <w:sz w:val="20"/>
          <w:szCs w:val="20"/>
          <w14:textOutline w14:w="12700" w14:cap="flat" w14:cmpd="sng" w14:algn="ctr">
            <w14:noFill/>
            <w14:prstDash w14:val="solid"/>
            <w14:miter w14:lim="400000"/>
          </w14:textOutline>
        </w:rPr>
      </w:pPr>
    </w:p>
    <w:p w:rsidR="00BE4007" w:rsidRDefault="001D7EE7">
      <w:pPr>
        <w:spacing w:after="0" w:line="240" w:lineRule="auto"/>
        <w:jc w:val="center"/>
        <w:rPr>
          <w:rStyle w:val="Nessuno"/>
          <w:rFonts w:eastAsia="Calibri" w:cs="Calibri"/>
          <w:b/>
          <w:bCs/>
          <w:color w:val="365B9D"/>
          <w:lang w:val="fr-FR"/>
          <w14:textOutline w14:w="12700" w14:cap="flat" w14:cmpd="sng" w14:algn="ctr">
            <w14:noFill/>
            <w14:prstDash w14:val="solid"/>
            <w14:miter w14:lim="400000"/>
          </w14:textOutline>
        </w:rPr>
      </w:pPr>
      <w:r>
        <w:rPr>
          <w:rStyle w:val="Nessuno"/>
          <w:b/>
          <w:bCs/>
          <w:color w:val="365B9D"/>
          <w:lang w:val="fr-FR"/>
          <w14:textOutline w14:w="12700" w14:cap="flat" w14:cmpd="sng" w14:algn="ctr">
            <w14:noFill/>
            <w14:prstDash w14:val="solid"/>
            <w14:miter w14:lim="400000"/>
          </w14:textOutline>
        </w:rPr>
        <w:lastRenderedPageBreak/>
        <w:t>D</w:t>
      </w:r>
      <w:r>
        <w:rPr>
          <w:rStyle w:val="Nessuno"/>
          <w:b/>
          <w:bCs/>
          <w:color w:val="365B9D"/>
          <w:lang w:val="fr-FR"/>
          <w14:textOutline w14:w="12700" w14:cap="flat" w14:cmpd="sng" w14:algn="ctr">
            <w14:noFill/>
            <w14:prstDash w14:val="solid"/>
            <w14:miter w14:lim="400000"/>
          </w14:textOutline>
        </w:rPr>
        <w:t>é</w:t>
      </w:r>
      <w:r>
        <w:rPr>
          <w:rStyle w:val="Nessuno"/>
          <w:b/>
          <w:bCs/>
          <w:color w:val="365B9D"/>
          <w:lang w:val="fr-FR"/>
          <w14:textOutline w14:w="12700" w14:cap="flat" w14:cmpd="sng" w14:algn="ctr">
            <w14:noFill/>
            <w14:prstDash w14:val="solid"/>
            <w14:miter w14:lim="400000"/>
          </w14:textOutline>
        </w:rPr>
        <w:t>claration de droit d'auteur</w:t>
      </w:r>
      <w:r>
        <w:rPr>
          <w:rStyle w:val="Nessuno"/>
          <w:b/>
          <w:bCs/>
          <w:color w:val="365B9D"/>
          <w:lang w:val="fr-FR"/>
          <w14:textOutline w14:w="12700" w14:cap="flat" w14:cmpd="sng" w14:algn="ctr">
            <w14:noFill/>
            <w14:prstDash w14:val="solid"/>
            <w14:miter w14:lim="400000"/>
          </w14:textOutline>
        </w:rPr>
        <w:t> </w:t>
      </w:r>
      <w:r>
        <w:rPr>
          <w:rStyle w:val="Nessuno"/>
          <w:b/>
          <w:bCs/>
          <w:color w:val="365B9D"/>
          <w:lang w:val="fr-FR"/>
          <w14:textOutline w14:w="12700" w14:cap="flat" w14:cmpd="sng" w14:algn="ctr">
            <w14:noFill/>
            <w14:prstDash w14:val="solid"/>
            <w14:miter w14:lim="400000"/>
          </w14:textOutline>
        </w:rPr>
        <w:t>:</w:t>
      </w:r>
    </w:p>
    <w:p w:rsidR="00BE4007" w:rsidRDefault="00BE4007">
      <w:pPr>
        <w:spacing w:after="0" w:line="240" w:lineRule="auto"/>
        <w:jc w:val="center"/>
        <w:rPr>
          <w:rStyle w:val="Nessuno"/>
          <w:rFonts w:eastAsia="Calibri" w:cs="Calibri"/>
          <w:b/>
          <w:bCs/>
          <w:lang w:val="fr-FR"/>
          <w14:textOutline w14:w="12700" w14:cap="flat" w14:cmpd="sng" w14:algn="ctr">
            <w14:noFill/>
            <w14:prstDash w14:val="solid"/>
            <w14:miter w14:lim="400000"/>
          </w14:textOutline>
        </w:rPr>
      </w:pPr>
    </w:p>
    <w:p w:rsidR="00BE4007" w:rsidRDefault="00BE4007">
      <w:pPr>
        <w:spacing w:after="0" w:line="240" w:lineRule="auto"/>
        <w:jc w:val="center"/>
        <w:rPr>
          <w:rStyle w:val="Nessuno"/>
          <w:rFonts w:eastAsia="Calibri" w:cs="Calibri"/>
          <w:b/>
          <w:bCs/>
          <w:lang w:val="fr-FR"/>
          <w14:textOutline w14:w="12700" w14:cap="flat" w14:cmpd="sng" w14:algn="ctr">
            <w14:noFill/>
            <w14:prstDash w14:val="solid"/>
            <w14:miter w14:lim="400000"/>
          </w14:textOutline>
        </w:rPr>
      </w:pPr>
    </w:p>
    <w:p w:rsidR="00BE4007" w:rsidRDefault="001D7EE7">
      <w:pPr>
        <w:spacing w:after="0" w:line="240" w:lineRule="auto"/>
        <w:jc w:val="center"/>
        <w:rPr>
          <w:rStyle w:val="Nessuno"/>
          <w:rFonts w:eastAsia="Calibri" w:cs="Calibri"/>
          <w14:textOutline w14:w="12700" w14:cap="flat" w14:cmpd="sng" w14:algn="ctr">
            <w14:noFill/>
            <w14:prstDash w14:val="solid"/>
            <w14:miter w14:lim="400000"/>
          </w14:textOutline>
        </w:rPr>
      </w:pPr>
      <w:r>
        <w:rPr>
          <w:rStyle w:val="Nessuno"/>
          <w:rFonts w:eastAsia="Calibri" w:cs="Calibri"/>
          <w:b/>
          <w:bCs/>
          <w:noProof/>
          <w:lang w:val="fr-FR"/>
          <w14:textOutline w14:w="12700" w14:cap="flat" w14:cmpd="sng" w14:algn="ctr">
            <w14:noFill/>
            <w14:prstDash w14:val="solid"/>
            <w14:miter w14:lim="400000"/>
          </w14:textOutline>
        </w:rPr>
        <w:drawing>
          <wp:inline distT="0" distB="0" distL="0" distR="0">
            <wp:extent cx="1406014" cy="492105"/>
            <wp:effectExtent l="0" t="0" r="0" b="0"/>
            <wp:docPr id="1073741836" name="officeArt object"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1073741836" name="Εικόνα που περιέχει κείμενο, clipartΠεριγραφή που δημιουργήθηκε αυτόματα" descr="Εικόνα που περιέχει κείμενο, clipartΠεριγραφή που δημιουργήθηκε αυτόματα"/>
                    <pic:cNvPicPr>
                      <a:picLocks noChangeAspect="1"/>
                    </pic:cNvPicPr>
                  </pic:nvPicPr>
                  <pic:blipFill>
                    <a:blip r:embed="rId18">
                      <a:extLst/>
                    </a:blip>
                    <a:stretch>
                      <a:fillRect/>
                    </a:stretch>
                  </pic:blipFill>
                  <pic:spPr>
                    <a:xfrm>
                      <a:off x="0" y="0"/>
                      <a:ext cx="1406014" cy="492105"/>
                    </a:xfrm>
                    <a:prstGeom prst="rect">
                      <a:avLst/>
                    </a:prstGeom>
                    <a:ln w="12700" cap="flat">
                      <a:noFill/>
                      <a:miter lim="400000"/>
                    </a:ln>
                    <a:effectLst/>
                  </pic:spPr>
                </pic:pic>
              </a:graphicData>
            </a:graphic>
          </wp:inline>
        </w:drawing>
      </w:r>
      <w:r>
        <w:rPr>
          <w:rStyle w:val="Nessuno"/>
          <w:b/>
          <w:bCs/>
          <w:color w:val="FFFFFF"/>
          <w:sz w:val="20"/>
          <w:szCs w:val="20"/>
          <w:u w:color="FFFFFF"/>
          <w14:textOutline w14:w="12700" w14:cap="flat" w14:cmpd="sng" w14:algn="ctr">
            <w14:noFill/>
            <w14:prstDash w14:val="solid"/>
            <w14:miter w14:lim="400000"/>
          </w14:textOutline>
        </w:rPr>
        <w:t>0</w:t>
      </w:r>
    </w:p>
    <w:p w:rsidR="00BE4007" w:rsidRDefault="00BE4007">
      <w:pPr>
        <w:spacing w:after="0" w:line="240" w:lineRule="auto"/>
        <w:jc w:val="center"/>
        <w:rPr>
          <w:rStyle w:val="Nessuno"/>
          <w:lang w:val="it-IT"/>
          <w14:textOutline w14:w="12700" w14:cap="flat" w14:cmpd="sng" w14:algn="ctr">
            <w14:noFill/>
            <w14:prstDash w14:val="solid"/>
            <w14:miter w14:lim="400000"/>
          </w14:textOutline>
        </w:rPr>
      </w:pPr>
    </w:p>
    <w:p w:rsidR="00BE4007" w:rsidRDefault="001D7EE7">
      <w:pPr>
        <w:spacing w:after="0" w:line="240" w:lineRule="auto"/>
        <w:jc w:val="center"/>
        <w:rPr>
          <w:rStyle w:val="Nessuno"/>
          <w:rFonts w:eastAsia="Calibri" w:cs="Calibri"/>
          <w:lang w:val="fr-FR"/>
          <w14:textOutline w14:w="12700" w14:cap="flat" w14:cmpd="sng" w14:algn="ctr">
            <w14:noFill/>
            <w14:prstDash w14:val="solid"/>
            <w14:miter w14:lim="400000"/>
          </w14:textOutline>
        </w:rPr>
      </w:pPr>
      <w:r>
        <w:rPr>
          <w:rStyle w:val="Nessuno"/>
          <w:lang w:val="it-IT"/>
          <w14:textOutline w14:w="12700" w14:cap="flat" w14:cmpd="sng" w14:algn="ctr">
            <w14:noFill/>
            <w14:prstDash w14:val="solid"/>
            <w14:miter w14:lim="400000"/>
          </w14:textOutline>
        </w:rPr>
        <w:t xml:space="preserve"> </w:t>
      </w:r>
      <w:r>
        <w:rPr>
          <w:rStyle w:val="Nessuno"/>
          <w:lang w:val="fr-FR"/>
          <w14:textOutline w14:w="12700" w14:cap="flat" w14:cmpd="sng" w14:algn="ctr">
            <w14:noFill/>
            <w14:prstDash w14:val="solid"/>
            <w14:miter w14:lim="400000"/>
          </w14:textOutline>
        </w:rPr>
        <w:t>Ce travail est sous licence Creative Comm</w:t>
      </w:r>
      <w:r>
        <w:rPr>
          <w:rStyle w:val="Nessuno"/>
          <w:lang w:val="fr-FR"/>
          <w14:textOutline w14:w="12700" w14:cap="flat" w14:cmpd="sng" w14:algn="ctr">
            <w14:noFill/>
            <w14:prstDash w14:val="solid"/>
            <w14:miter w14:lim="400000"/>
          </w14:textOutline>
        </w:rPr>
        <w:t xml:space="preserve">ons Attribution-NonCommercial-ShareAlike 4.0 International License. Vous </w:t>
      </w:r>
      <w:r>
        <w:rPr>
          <w:rStyle w:val="Nessuno"/>
          <w:lang w:val="fr-FR"/>
          <w14:textOutline w14:w="12700" w14:cap="flat" w14:cmpd="sng" w14:algn="ctr">
            <w14:noFill/>
            <w14:prstDash w14:val="solid"/>
            <w14:miter w14:lim="400000"/>
          </w14:textOutline>
        </w:rPr>
        <w:t>ê</w:t>
      </w:r>
      <w:r>
        <w:rPr>
          <w:rStyle w:val="Nessuno"/>
          <w:lang w:val="fr-FR"/>
          <w14:textOutline w14:w="12700" w14:cap="flat" w14:cmpd="sng" w14:algn="ctr">
            <w14:noFill/>
            <w14:prstDash w14:val="solid"/>
            <w14:miter w14:lim="400000"/>
          </w14:textOutline>
        </w:rPr>
        <w:t>tes libre de :</w:t>
      </w:r>
    </w:p>
    <w:p w:rsidR="00BE4007" w:rsidRDefault="001D7EE7">
      <w:pPr>
        <w:spacing w:after="0" w:line="240" w:lineRule="auto"/>
        <w:jc w:val="center"/>
        <w:rPr>
          <w:rStyle w:val="Nessuno"/>
          <w:rFonts w:eastAsia="Calibri" w:cs="Calibri"/>
          <w14:textOutline w14:w="12700" w14:cap="flat" w14:cmpd="sng" w14:algn="ctr">
            <w14:noFill/>
            <w14:prstDash w14:val="solid"/>
            <w14:miter w14:lim="400000"/>
          </w14:textOutline>
        </w:rPr>
      </w:pPr>
      <w:r>
        <w:rPr>
          <w:rStyle w:val="Nessuno"/>
          <w:lang w:val="fr-FR"/>
          <w14:textOutline w14:w="12700" w14:cap="flat" w14:cmpd="sng" w14:algn="ctr">
            <w14:noFill/>
            <w14:prstDash w14:val="solid"/>
            <w14:miter w14:lim="400000"/>
          </w14:textOutline>
        </w:rPr>
        <w:t> </w:t>
      </w:r>
    </w:p>
    <w:p w:rsidR="00BE4007" w:rsidRDefault="001D7EE7">
      <w:pPr>
        <w:numPr>
          <w:ilvl w:val="0"/>
          <w:numId w:val="2"/>
        </w:numPr>
        <w:spacing w:before="100" w:after="200" w:line="312" w:lineRule="auto"/>
        <w:rPr>
          <w:lang w:val="fr-FR"/>
          <w14:textOutline w14:w="0" w14:cap="flat" w14:cmpd="sng" w14:algn="ctr">
            <w14:noFill/>
            <w14:prstDash w14:val="solid"/>
            <w14:bevel/>
          </w14:textOutline>
        </w:rPr>
      </w:pPr>
      <w:proofErr w:type="gramStart"/>
      <w:r>
        <w:rPr>
          <w:rStyle w:val="Nessuno"/>
          <w:b/>
          <w:bCs/>
          <w:kern w:val="3"/>
          <w:lang w:val="fr-FR"/>
          <w14:textOutline w14:w="0" w14:cap="flat" w14:cmpd="sng" w14:algn="ctr">
            <w14:noFill/>
            <w14:prstDash w14:val="solid"/>
            <w14:bevel/>
          </w14:textOutline>
        </w:rPr>
        <w:t>partager:</w:t>
      </w:r>
      <w:proofErr w:type="gramEnd"/>
      <w:r>
        <w:rPr>
          <w:rStyle w:val="Nessuno"/>
          <w:b/>
          <w:bCs/>
          <w:kern w:val="3"/>
          <w:lang w:val="fr-FR"/>
          <w14:textOutline w14:w="0" w14:cap="flat" w14:cmpd="sng" w14:algn="ctr">
            <w14:noFill/>
            <w14:prstDash w14:val="solid"/>
            <w14:bevel/>
          </w14:textOutline>
        </w:rPr>
        <w:t xml:space="preserve"> </w:t>
      </w:r>
      <w:r>
        <w:rPr>
          <w:rStyle w:val="Nessuno"/>
          <w:kern w:val="3"/>
          <w:lang w:val="fr-FR"/>
          <w14:textOutline w14:w="0" w14:cap="flat" w14:cmpd="sng" w14:algn="ctr">
            <w14:noFill/>
            <w14:prstDash w14:val="solid"/>
            <w14:bevel/>
          </w14:textOutline>
        </w:rPr>
        <w:t>photocopier et redistribuer le support par tout moyen et sous toute forme</w:t>
      </w:r>
    </w:p>
    <w:p w:rsidR="00BE4007" w:rsidRDefault="001D7EE7">
      <w:pPr>
        <w:numPr>
          <w:ilvl w:val="0"/>
          <w:numId w:val="2"/>
        </w:numPr>
        <w:spacing w:before="100" w:after="200" w:line="312" w:lineRule="auto"/>
        <w:rPr>
          <w:lang w:val="fr-FR"/>
          <w14:textOutline w14:w="0" w14:cap="flat" w14:cmpd="sng" w14:algn="ctr">
            <w14:noFill/>
            <w14:prstDash w14:val="solid"/>
            <w14:bevel/>
          </w14:textOutline>
        </w:rPr>
      </w:pPr>
      <w:proofErr w:type="gramStart"/>
      <w:r>
        <w:rPr>
          <w:rStyle w:val="Nessuno"/>
          <w:b/>
          <w:bCs/>
          <w:kern w:val="3"/>
          <w:lang w:val="fr-FR"/>
          <w14:textOutline w14:w="0" w14:cap="flat" w14:cmpd="sng" w14:algn="ctr">
            <w14:noFill/>
            <w14:prstDash w14:val="solid"/>
            <w14:bevel/>
          </w14:textOutline>
        </w:rPr>
        <w:t>modifier:</w:t>
      </w:r>
      <w:proofErr w:type="gramEnd"/>
      <w:r>
        <w:rPr>
          <w:rStyle w:val="Nessuno"/>
          <w:kern w:val="3"/>
          <w:lang w:val="fr-FR"/>
          <w14:textOutline w14:w="0" w14:cap="flat" w14:cmpd="sng" w14:algn="ctr">
            <w14:noFill/>
            <w14:prstDash w14:val="solid"/>
            <w14:bevel/>
          </w14:textOutline>
        </w:rPr>
        <w:t xml:space="preserve"> r</w:t>
      </w:r>
      <w:r>
        <w:rPr>
          <w:rStyle w:val="Nessuno"/>
          <w:kern w:val="3"/>
          <w:lang w:val="fr-FR"/>
          <w14:textOutline w14:w="0" w14:cap="flat" w14:cmpd="sng" w14:algn="ctr">
            <w14:noFill/>
            <w14:prstDash w14:val="solid"/>
            <w14:bevel/>
          </w14:textOutline>
        </w:rPr>
        <w:t>é</w:t>
      </w:r>
      <w:r>
        <w:rPr>
          <w:rStyle w:val="Nessuno"/>
          <w:kern w:val="3"/>
          <w:lang w:val="fr-FR"/>
          <w14:textOutline w14:w="0" w14:cap="flat" w14:cmpd="sng" w14:algn="ctr">
            <w14:noFill/>
            <w14:prstDash w14:val="solid"/>
            <w14:bevel/>
          </w14:textOutline>
        </w:rPr>
        <w:t>organiser, transformer et utiliser le support comme base pour le d</w:t>
      </w:r>
      <w:r>
        <w:rPr>
          <w:rStyle w:val="Nessuno"/>
          <w:kern w:val="3"/>
          <w:lang w:val="fr-FR"/>
          <w14:textOutline w14:w="0" w14:cap="flat" w14:cmpd="sng" w14:algn="ctr">
            <w14:noFill/>
            <w14:prstDash w14:val="solid"/>
            <w14:bevel/>
          </w14:textOutline>
        </w:rPr>
        <w:t>é</w:t>
      </w:r>
      <w:r>
        <w:rPr>
          <w:rStyle w:val="Nessuno"/>
          <w:kern w:val="3"/>
          <w:lang w:val="fr-FR"/>
          <w14:textOutline w14:w="0" w14:cap="flat" w14:cmpd="sng" w14:algn="ctr">
            <w14:noFill/>
            <w14:prstDash w14:val="solid"/>
            <w14:bevel/>
          </w14:textOutline>
        </w:rPr>
        <w:t>velopper</w:t>
      </w:r>
    </w:p>
    <w:p w:rsidR="00BE4007" w:rsidRDefault="00BE4007">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pacing w:before="100" w:after="200" w:line="312" w:lineRule="auto"/>
        <w:jc w:val="both"/>
        <w:rPr>
          <w:rStyle w:val="Nessuno"/>
          <w:rFonts w:ascii="Calibri" w:eastAsia="Calibri" w:hAnsi="Calibri" w:cs="Calibri"/>
          <w:color w:val="333333"/>
          <w:kern w:val="3"/>
          <w:u w:color="333333"/>
          <w:shd w:val="clear" w:color="auto" w:fill="FFFF00"/>
          <w14:textOutline w14:w="12700" w14:cap="flat" w14:cmpd="sng" w14:algn="ctr">
            <w14:noFill/>
            <w14:prstDash w14:val="solid"/>
            <w14:miter w14:lim="400000"/>
          </w14:textOutline>
        </w:rPr>
      </w:pPr>
    </w:p>
    <w:p w:rsidR="00BE4007" w:rsidRDefault="001D7EE7">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spacing w:before="0" w:after="160" w:line="360" w:lineRule="auto"/>
        <w:jc w:val="both"/>
        <w:rPr>
          <w:rStyle w:val="Nessuno"/>
          <w:rFonts w:ascii="Calibri" w:eastAsia="Calibri" w:hAnsi="Calibri" w:cs="Calibri"/>
          <w:color w:val="262626"/>
          <w:kern w:val="3"/>
          <w:sz w:val="22"/>
          <w:szCs w:val="22"/>
          <w:u w:color="262626"/>
          <w:lang w:val="fr-FR"/>
          <w14:textOutline w14:w="12700" w14:cap="flat" w14:cmpd="sng" w14:algn="ctr">
            <w14:noFill/>
            <w14:prstDash w14:val="solid"/>
            <w14:miter w14:lim="400000"/>
          </w14:textOutline>
        </w:rPr>
      </w:pPr>
      <w:r>
        <w:rPr>
          <w:rStyle w:val="Nessuno"/>
          <w:rFonts w:ascii="Calibri" w:hAnsi="Calibri"/>
          <w:color w:val="262626"/>
          <w:kern w:val="3"/>
          <w:sz w:val="22"/>
          <w:szCs w:val="22"/>
          <w:u w:color="262626"/>
          <w:lang w:val="fr-FR"/>
          <w14:textOutline w14:w="12700" w14:cap="flat" w14:cmpd="sng" w14:algn="ctr">
            <w14:noFill/>
            <w14:prstDash w14:val="solid"/>
            <w14:miter w14:lim="400000"/>
          </w14:textOutline>
        </w:rPr>
        <w:t xml:space="preserve">Les conditions </w:t>
      </w:r>
      <w:r>
        <w:rPr>
          <w:rStyle w:val="Nessuno"/>
          <w:rFonts w:ascii="Calibri" w:hAnsi="Calibri"/>
          <w:color w:val="262626"/>
          <w:kern w:val="3"/>
          <w:sz w:val="22"/>
          <w:szCs w:val="22"/>
          <w:u w:color="262626"/>
          <w:lang w:val="fr-FR"/>
          <w14:textOutline w14:w="12700" w14:cap="flat" w14:cmpd="sng" w14:algn="ctr">
            <w14:noFill/>
            <w14:prstDash w14:val="solid"/>
            <w14:miter w14:lim="400000"/>
          </w14:textOutline>
        </w:rPr>
        <w:t xml:space="preserve">à </w:t>
      </w:r>
      <w:r>
        <w:rPr>
          <w:rStyle w:val="Nessuno"/>
          <w:rFonts w:ascii="Calibri" w:hAnsi="Calibri"/>
          <w:color w:val="262626"/>
          <w:kern w:val="3"/>
          <w:sz w:val="22"/>
          <w:szCs w:val="22"/>
          <w:u w:color="262626"/>
          <w:lang w:val="fr-FR"/>
          <w14:textOutline w14:w="12700" w14:cap="flat" w14:cmpd="sng" w14:algn="ctr">
            <w14:noFill/>
            <w14:prstDash w14:val="solid"/>
            <w14:miter w14:lim="400000"/>
          </w14:textOutline>
        </w:rPr>
        <w:t>respecter sont les suivantes</w:t>
      </w:r>
      <w:r>
        <w:rPr>
          <w:rStyle w:val="Nessuno"/>
          <w:rFonts w:ascii="Calibri" w:hAnsi="Calibri"/>
          <w:color w:val="262626"/>
          <w:kern w:val="3"/>
          <w:sz w:val="22"/>
          <w:szCs w:val="22"/>
          <w:u w:color="262626"/>
          <w:lang w:val="fr-FR"/>
          <w14:textOutline w14:w="12700" w14:cap="flat" w14:cmpd="sng" w14:algn="ctr">
            <w14:noFill/>
            <w14:prstDash w14:val="solid"/>
            <w14:miter w14:lim="400000"/>
          </w14:textOutline>
        </w:rPr>
        <w:t> </w:t>
      </w:r>
      <w:r>
        <w:rPr>
          <w:rStyle w:val="Nessuno"/>
          <w:rFonts w:ascii="Calibri" w:hAnsi="Calibri"/>
          <w:color w:val="262626"/>
          <w:kern w:val="3"/>
          <w:sz w:val="22"/>
          <w:szCs w:val="22"/>
          <w:u w:color="262626"/>
          <w:lang w:val="fr-FR"/>
          <w14:textOutline w14:w="12700" w14:cap="flat" w14:cmpd="sng" w14:algn="ctr">
            <w14:noFill/>
            <w14:prstDash w14:val="solid"/>
            <w14:miter w14:lim="400000"/>
          </w14:textOutline>
        </w:rPr>
        <w:t>:</w:t>
      </w:r>
    </w:p>
    <w:p w:rsidR="00BE4007" w:rsidRDefault="001D7EE7">
      <w:pPr>
        <w:numPr>
          <w:ilvl w:val="0"/>
          <w:numId w:val="2"/>
        </w:numPr>
        <w:spacing w:before="100" w:after="200" w:line="312" w:lineRule="auto"/>
        <w:rPr>
          <w:lang w:val="fr-FR"/>
          <w14:textOutline w14:w="0" w14:cap="flat" w14:cmpd="sng" w14:algn="ctr">
            <w14:noFill/>
            <w14:prstDash w14:val="solid"/>
            <w14:bevel/>
          </w14:textOutline>
        </w:rPr>
      </w:pPr>
      <w:proofErr w:type="gramStart"/>
      <w:r>
        <w:rPr>
          <w:rStyle w:val="Nessuno"/>
          <w:b/>
          <w:bCs/>
          <w:kern w:val="3"/>
          <w:u w:val="single"/>
          <w:lang w:val="fr-FR"/>
          <w14:textOutline w14:w="0" w14:cap="flat" w14:cmpd="sng" w14:algn="ctr">
            <w14:noFill/>
            <w14:prstDash w14:val="solid"/>
            <w14:bevel/>
          </w14:textOutline>
        </w:rPr>
        <w:t>Attribution</w:t>
      </w:r>
      <w:r>
        <w:rPr>
          <w:rStyle w:val="Nessuno"/>
          <w:kern w:val="3"/>
          <w:lang w:val="fr-FR"/>
          <w14:textOutline w14:w="0" w14:cap="flat" w14:cmpd="sng" w14:algn="ctr">
            <w14:noFill/>
            <w14:prstDash w14:val="solid"/>
            <w14:bevel/>
          </w14:textOutline>
        </w:rPr>
        <w:t>:</w:t>
      </w:r>
      <w:proofErr w:type="gramEnd"/>
      <w:r>
        <w:rPr>
          <w:rStyle w:val="Nessuno"/>
          <w:kern w:val="3"/>
          <w:lang w:val="fr-FR"/>
          <w14:textOutline w14:w="0" w14:cap="flat" w14:cmpd="sng" w14:algn="ctr">
            <w14:noFill/>
            <w14:prstDash w14:val="solid"/>
            <w14:bevel/>
          </w14:textOutline>
        </w:rPr>
        <w:t xml:space="preserve"> Vous vous engagez </w:t>
      </w:r>
      <w:r>
        <w:rPr>
          <w:rStyle w:val="Nessuno"/>
          <w:kern w:val="3"/>
          <w:lang w:val="fr-FR"/>
          <w14:textOutline w14:w="0" w14:cap="flat" w14:cmpd="sng" w14:algn="ctr">
            <w14:noFill/>
            <w14:prstDash w14:val="solid"/>
            <w14:bevel/>
          </w14:textOutline>
        </w:rPr>
        <w:t xml:space="preserve">à </w:t>
      </w:r>
      <w:r>
        <w:rPr>
          <w:rStyle w:val="Nessuno"/>
          <w:color w:val="00B0F0"/>
          <w:kern w:val="3"/>
          <w:u w:color="00B0F0"/>
          <w:lang w:val="fr-FR"/>
          <w14:textOutline w14:w="0" w14:cap="flat" w14:cmpd="sng" w14:algn="ctr">
            <w14:noFill/>
            <w14:prstDash w14:val="solid"/>
            <w14:bevel/>
          </w14:textOutline>
        </w:rPr>
        <w:t>cr</w:t>
      </w:r>
      <w:r>
        <w:rPr>
          <w:rStyle w:val="Nessuno"/>
          <w:color w:val="00B0F0"/>
          <w:kern w:val="3"/>
          <w:u w:color="00B0F0"/>
          <w:lang w:val="fr-FR"/>
          <w14:textOutline w14:w="0" w14:cap="flat" w14:cmpd="sng" w14:algn="ctr">
            <w14:noFill/>
            <w14:prstDash w14:val="solid"/>
            <w14:bevel/>
          </w14:textOutline>
        </w:rPr>
        <w:t>é</w:t>
      </w:r>
      <w:r>
        <w:rPr>
          <w:rStyle w:val="Nessuno"/>
          <w:color w:val="00B0F0"/>
          <w:kern w:val="3"/>
          <w:u w:color="00B0F0"/>
          <w:lang w:val="fr-FR"/>
          <w14:textOutline w14:w="0" w14:cap="flat" w14:cmpd="sng" w14:algn="ctr">
            <w14:noFill/>
            <w14:prstDash w14:val="solid"/>
            <w14:bevel/>
          </w14:textOutline>
        </w:rPr>
        <w:t xml:space="preserve">diter comme il se </w:t>
      </w:r>
      <w:r>
        <w:rPr>
          <w:rStyle w:val="Nessuno"/>
          <w:color w:val="00B0F0"/>
          <w:kern w:val="3"/>
          <w:u w:color="00B0F0"/>
          <w:lang w:val="fr-FR"/>
          <w14:textOutline w14:w="0" w14:cap="flat" w14:cmpd="sng" w14:algn="ctr">
            <w14:noFill/>
            <w14:prstDash w14:val="solid"/>
            <w14:bevel/>
          </w14:textOutline>
        </w:rPr>
        <w:t>doit ce support</w:t>
      </w:r>
      <w:r>
        <w:rPr>
          <w:rStyle w:val="Nessuno"/>
          <w:kern w:val="3"/>
          <w:lang w:val="fr-FR"/>
          <w14:textOutline w14:w="0" w14:cap="flat" w14:cmpd="sng" w14:algn="ctr">
            <w14:noFill/>
            <w14:prstDash w14:val="solid"/>
            <w14:bevel/>
          </w14:textOutline>
        </w:rPr>
        <w:t xml:space="preserve">, </w:t>
      </w:r>
      <w:r>
        <w:rPr>
          <w:rStyle w:val="Nessuno"/>
          <w:kern w:val="3"/>
          <w:lang w:val="fr-FR"/>
          <w14:textOutline w14:w="0" w14:cap="flat" w14:cmpd="sng" w14:algn="ctr">
            <w14:noFill/>
            <w14:prstDash w14:val="solid"/>
            <w14:bevel/>
          </w14:textOutline>
        </w:rPr>
        <w:t xml:space="preserve">à </w:t>
      </w:r>
      <w:r>
        <w:rPr>
          <w:rStyle w:val="Nessuno"/>
          <w:kern w:val="3"/>
          <w:lang w:val="fr-FR"/>
          <w14:textOutline w14:w="0" w14:cap="flat" w14:cmpd="sng" w14:algn="ctr">
            <w14:noFill/>
            <w14:prstDash w14:val="solid"/>
            <w14:bevel/>
          </w14:textOutline>
        </w:rPr>
        <w:t xml:space="preserve">fournir un lien vers la licence et </w:t>
      </w:r>
      <w:r>
        <w:rPr>
          <w:rStyle w:val="Nessuno"/>
          <w:kern w:val="3"/>
          <w:lang w:val="fr-FR"/>
          <w14:textOutline w14:w="0" w14:cap="flat" w14:cmpd="sng" w14:algn="ctr">
            <w14:noFill/>
            <w14:prstDash w14:val="solid"/>
            <w14:bevel/>
          </w14:textOutline>
        </w:rPr>
        <w:t xml:space="preserve">à </w:t>
      </w:r>
      <w:r>
        <w:rPr>
          <w:rStyle w:val="Nessuno"/>
          <w:color w:val="00B0F0"/>
          <w:kern w:val="3"/>
          <w:u w:color="00B0F0"/>
          <w:lang w:val="fr-FR"/>
          <w14:textOutline w14:w="0" w14:cap="flat" w14:cmpd="sng" w14:algn="ctr">
            <w14:noFill/>
            <w14:prstDash w14:val="solid"/>
            <w14:bevel/>
          </w14:textOutline>
        </w:rPr>
        <w:t>indiquer tout changement effectu</w:t>
      </w:r>
      <w:r>
        <w:rPr>
          <w:rStyle w:val="Nessuno"/>
          <w:color w:val="00B0F0"/>
          <w:kern w:val="3"/>
          <w:u w:color="00B0F0"/>
          <w:lang w:val="fr-FR"/>
          <w14:textOutline w14:w="0" w14:cap="flat" w14:cmpd="sng" w14:algn="ctr">
            <w14:noFill/>
            <w14:prstDash w14:val="solid"/>
            <w14:bevel/>
          </w14:textOutline>
        </w:rPr>
        <w:t xml:space="preserve">é </w:t>
      </w:r>
      <w:r>
        <w:rPr>
          <w:rStyle w:val="Nessuno"/>
          <w:kern w:val="3"/>
          <w:lang w:val="fr-FR"/>
          <w14:textOutline w14:w="0" w14:cap="flat" w14:cmpd="sng" w14:algn="ctr">
            <w14:noFill/>
            <w14:prstDash w14:val="solid"/>
            <w14:bevel/>
          </w14:textOutline>
        </w:rPr>
        <w:t xml:space="preserve">le cas </w:t>
      </w:r>
      <w:r>
        <w:rPr>
          <w:rStyle w:val="Nessuno"/>
          <w:kern w:val="3"/>
          <w:lang w:val="fr-FR"/>
          <w14:textOutline w14:w="0" w14:cap="flat" w14:cmpd="sng" w14:algn="ctr">
            <w14:noFill/>
            <w14:prstDash w14:val="solid"/>
            <w14:bevel/>
          </w14:textOutline>
        </w:rPr>
        <w:t>é</w:t>
      </w:r>
      <w:r>
        <w:rPr>
          <w:rStyle w:val="Nessuno"/>
          <w:kern w:val="3"/>
          <w:lang w:val="fr-FR"/>
          <w14:textOutline w14:w="0" w14:cap="flat" w14:cmpd="sng" w14:algn="ctr">
            <w14:noFill/>
            <w14:prstDash w14:val="solid"/>
            <w14:bevel/>
          </w14:textOutline>
        </w:rPr>
        <w:t>ch</w:t>
      </w:r>
      <w:r>
        <w:rPr>
          <w:rStyle w:val="Nessuno"/>
          <w:kern w:val="3"/>
          <w:lang w:val="fr-FR"/>
          <w14:textOutline w14:w="0" w14:cap="flat" w14:cmpd="sng" w14:algn="ctr">
            <w14:noFill/>
            <w14:prstDash w14:val="solid"/>
            <w14:bevel/>
          </w14:textOutline>
        </w:rPr>
        <w:t>é</w:t>
      </w:r>
      <w:r>
        <w:rPr>
          <w:rStyle w:val="Nessuno"/>
          <w:kern w:val="3"/>
          <w:lang w:val="fr-FR"/>
          <w14:textOutline w14:w="0" w14:cap="flat" w14:cmpd="sng" w14:algn="ctr">
            <w14:noFill/>
            <w14:prstDash w14:val="solid"/>
            <w14:bevel/>
          </w14:textOutline>
        </w:rPr>
        <w:t>ant. Vous pouvez le faire dans les limites du raisonnable, mais vous ne pouvez en aucun cas laisser entendre que le conc</w:t>
      </w:r>
      <w:r>
        <w:rPr>
          <w:rStyle w:val="Nessuno"/>
          <w:kern w:val="3"/>
          <w:lang w:val="fr-FR"/>
          <w14:textOutline w14:w="0" w14:cap="flat" w14:cmpd="sng" w14:algn="ctr">
            <w14:noFill/>
            <w14:prstDash w14:val="solid"/>
            <w14:bevel/>
          </w14:textOutline>
        </w:rPr>
        <w:t>é</w:t>
      </w:r>
      <w:r>
        <w:rPr>
          <w:rStyle w:val="Nessuno"/>
          <w:kern w:val="3"/>
          <w:lang w:val="fr-FR"/>
          <w14:textOutline w14:w="0" w14:cap="flat" w14:cmpd="sng" w14:algn="ctr">
            <w14:noFill/>
            <w14:prstDash w14:val="solid"/>
            <w14:bevel/>
          </w14:textOutline>
        </w:rPr>
        <w:t>dant de la licence vous soutient, ni qu</w:t>
      </w:r>
      <w:r>
        <w:rPr>
          <w:rStyle w:val="Nessuno"/>
          <w:kern w:val="3"/>
          <w:lang w:val="fr-FR"/>
          <w14:textOutline w14:w="0" w14:cap="flat" w14:cmpd="sng" w14:algn="ctr">
            <w14:noFill/>
            <w14:prstDash w14:val="solid"/>
            <w14:bevel/>
          </w14:textOutline>
        </w:rPr>
        <w:t>’</w:t>
      </w:r>
      <w:r>
        <w:rPr>
          <w:rStyle w:val="Nessuno"/>
          <w:kern w:val="3"/>
          <w:lang w:val="fr-FR"/>
          <w14:textOutline w14:w="0" w14:cap="flat" w14:cmpd="sng" w14:algn="ctr">
            <w14:noFill/>
            <w14:prstDash w14:val="solid"/>
            <w14:bevel/>
          </w14:textOutline>
        </w:rPr>
        <w:t>il approuve votre utilisation de la licence.</w:t>
      </w:r>
    </w:p>
    <w:p w:rsidR="00BE4007" w:rsidRDefault="001D7EE7">
      <w:pPr>
        <w:numPr>
          <w:ilvl w:val="0"/>
          <w:numId w:val="2"/>
        </w:numPr>
        <w:spacing w:before="100" w:after="200" w:line="312" w:lineRule="auto"/>
        <w:rPr>
          <w:lang w:val="fr-FR"/>
          <w14:textOutline w14:w="0" w14:cap="flat" w14:cmpd="sng" w14:algn="ctr">
            <w14:noFill/>
            <w14:prstDash w14:val="solid"/>
            <w14:bevel/>
          </w14:textOutline>
        </w:rPr>
      </w:pPr>
      <w:r>
        <w:rPr>
          <w:rStyle w:val="Nessuno"/>
          <w:b/>
          <w:bCs/>
          <w:kern w:val="3"/>
          <w:u w:val="single"/>
          <w:lang w:val="fr-FR"/>
          <w14:textOutline w14:w="0" w14:cap="flat" w14:cmpd="sng" w14:algn="ctr">
            <w14:noFill/>
            <w14:prstDash w14:val="solid"/>
            <w14:bevel/>
          </w14:textOutline>
        </w:rPr>
        <w:t xml:space="preserve">Non </w:t>
      </w:r>
      <w:proofErr w:type="gramStart"/>
      <w:r>
        <w:rPr>
          <w:rStyle w:val="Nessuno"/>
          <w:b/>
          <w:bCs/>
          <w:kern w:val="3"/>
          <w:u w:val="single"/>
          <w:lang w:val="fr-FR"/>
          <w14:textOutline w14:w="0" w14:cap="flat" w14:cmpd="sng" w14:algn="ctr">
            <w14:noFill/>
            <w14:prstDash w14:val="solid"/>
            <w14:bevel/>
          </w14:textOutline>
        </w:rPr>
        <w:t>commerciale</w:t>
      </w:r>
      <w:r>
        <w:rPr>
          <w:rStyle w:val="Nessuno"/>
          <w:b/>
          <w:bCs/>
          <w:kern w:val="3"/>
          <w:lang w:val="fr-FR"/>
          <w14:textOutline w14:w="0" w14:cap="flat" w14:cmpd="sng" w14:algn="ctr">
            <w14:noFill/>
            <w14:prstDash w14:val="solid"/>
            <w14:bevel/>
          </w14:textOutline>
        </w:rPr>
        <w:t>:</w:t>
      </w:r>
      <w:proofErr w:type="gramEnd"/>
      <w:r>
        <w:rPr>
          <w:rStyle w:val="Nessuno"/>
          <w:kern w:val="3"/>
          <w:lang w:val="fr-FR"/>
          <w14:textOutline w14:w="0" w14:cap="flat" w14:cmpd="sng" w14:algn="ctr">
            <w14:noFill/>
            <w14:prstDash w14:val="solid"/>
            <w14:bevel/>
          </w14:textOutline>
        </w:rPr>
        <w:t xml:space="preserve"> Vous ne pouvez </w:t>
      </w:r>
      <w:r>
        <w:rPr>
          <w:rStyle w:val="Nessuno"/>
          <w:color w:val="00B0F0"/>
          <w:kern w:val="3"/>
          <w:u w:color="00B0F0"/>
          <w:lang w:val="fr-FR"/>
          <w14:textOutline w14:w="0" w14:cap="flat" w14:cmpd="sng" w14:algn="ctr">
            <w14:noFill/>
            <w14:prstDash w14:val="solid"/>
            <w14:bevel/>
          </w14:textOutline>
        </w:rPr>
        <w:t xml:space="preserve">pas utiliser le support </w:t>
      </w:r>
      <w:r>
        <w:rPr>
          <w:rStyle w:val="Nessuno"/>
          <w:color w:val="00B0F0"/>
          <w:kern w:val="3"/>
          <w:u w:color="00B0F0"/>
          <w:lang w:val="fr-FR"/>
          <w14:textOutline w14:w="0" w14:cap="flat" w14:cmpd="sng" w14:algn="ctr">
            <w14:noFill/>
            <w14:prstDash w14:val="solid"/>
            <w14:bevel/>
          </w14:textOutline>
        </w:rPr>
        <w:t xml:space="preserve">à </w:t>
      </w:r>
      <w:r>
        <w:rPr>
          <w:rStyle w:val="Nessuno"/>
          <w:color w:val="00B0F0"/>
          <w:kern w:val="3"/>
          <w:u w:color="00B0F0"/>
          <w:lang w:val="fr-FR"/>
          <w14:textOutline w14:w="0" w14:cap="flat" w14:cmpd="sng" w14:algn="ctr">
            <w14:noFill/>
            <w14:prstDash w14:val="solid"/>
            <w14:bevel/>
          </w14:textOutline>
        </w:rPr>
        <w:t>des fins commerciales</w:t>
      </w:r>
      <w:r>
        <w:rPr>
          <w:rStyle w:val="Nessuno"/>
          <w:kern w:val="3"/>
          <w:lang w:val="fr-FR"/>
          <w14:textOutline w14:w="0" w14:cap="flat" w14:cmpd="sng" w14:algn="ctr">
            <w14:noFill/>
            <w14:prstDash w14:val="solid"/>
            <w14:bevel/>
          </w14:textOutline>
        </w:rPr>
        <w:t>.</w:t>
      </w:r>
    </w:p>
    <w:p w:rsidR="00BE4007" w:rsidRDefault="001D7EE7">
      <w:pPr>
        <w:numPr>
          <w:ilvl w:val="0"/>
          <w:numId w:val="2"/>
        </w:numPr>
        <w:spacing w:before="100" w:after="200" w:line="312" w:lineRule="auto"/>
        <w:rPr>
          <w:lang w:val="fr-FR"/>
          <w14:textOutline w14:w="0" w14:cap="flat" w14:cmpd="sng" w14:algn="ctr">
            <w14:noFill/>
            <w14:prstDash w14:val="solid"/>
            <w14:bevel/>
          </w14:textOutline>
        </w:rPr>
      </w:pPr>
      <w:r>
        <w:rPr>
          <w:rStyle w:val="Nessuno"/>
          <w:b/>
          <w:bCs/>
          <w:kern w:val="3"/>
          <w:u w:val="single"/>
          <w:lang w:val="fr-FR"/>
          <w14:textOutline w14:w="0" w14:cap="flat" w14:cmpd="sng" w14:algn="ctr">
            <w14:noFill/>
            <w14:prstDash w14:val="solid"/>
            <w14:bevel/>
          </w14:textOutline>
        </w:rPr>
        <w:t>Partage dans les m</w:t>
      </w:r>
      <w:r>
        <w:rPr>
          <w:rStyle w:val="Nessuno"/>
          <w:b/>
          <w:bCs/>
          <w:kern w:val="3"/>
          <w:u w:val="single"/>
          <w:lang w:val="fr-FR"/>
          <w14:textOutline w14:w="0" w14:cap="flat" w14:cmpd="sng" w14:algn="ctr">
            <w14:noFill/>
            <w14:prstDash w14:val="solid"/>
            <w14:bevel/>
          </w14:textOutline>
        </w:rPr>
        <w:t>ê</w:t>
      </w:r>
      <w:r>
        <w:rPr>
          <w:rStyle w:val="Nessuno"/>
          <w:b/>
          <w:bCs/>
          <w:kern w:val="3"/>
          <w:u w:val="single"/>
          <w:lang w:val="fr-FR"/>
          <w14:textOutline w14:w="0" w14:cap="flat" w14:cmpd="sng" w14:algn="ctr">
            <w14:noFill/>
            <w14:prstDash w14:val="solid"/>
            <w14:bevel/>
          </w14:textOutline>
        </w:rPr>
        <w:t xml:space="preserve">mes </w:t>
      </w:r>
      <w:proofErr w:type="gramStart"/>
      <w:r>
        <w:rPr>
          <w:rStyle w:val="Nessuno"/>
          <w:b/>
          <w:bCs/>
          <w:kern w:val="3"/>
          <w:u w:val="single"/>
          <w:lang w:val="fr-FR"/>
          <w14:textOutline w14:w="0" w14:cap="flat" w14:cmpd="sng" w14:algn="ctr">
            <w14:noFill/>
            <w14:prstDash w14:val="solid"/>
            <w14:bevel/>
          </w14:textOutline>
        </w:rPr>
        <w:t>conditions</w:t>
      </w:r>
      <w:r>
        <w:rPr>
          <w:rStyle w:val="Nessuno"/>
          <w:b/>
          <w:bCs/>
          <w:kern w:val="3"/>
          <w:lang w:val="fr-FR"/>
          <w14:textOutline w14:w="0" w14:cap="flat" w14:cmpd="sng" w14:algn="ctr">
            <w14:noFill/>
            <w14:prstDash w14:val="solid"/>
            <w14:bevel/>
          </w14:textOutline>
        </w:rPr>
        <w:t>:</w:t>
      </w:r>
      <w:proofErr w:type="gramEnd"/>
      <w:r>
        <w:rPr>
          <w:rStyle w:val="Nessuno"/>
          <w:kern w:val="3"/>
          <w:lang w:val="fr-FR"/>
          <w14:textOutline w14:w="0" w14:cap="flat" w14:cmpd="sng" w14:algn="ctr">
            <w14:noFill/>
            <w14:prstDash w14:val="solid"/>
            <w14:bevel/>
          </w14:textOutline>
        </w:rPr>
        <w:t xml:space="preserve"> Si </w:t>
      </w:r>
      <w:r>
        <w:rPr>
          <w:rStyle w:val="Nessuno"/>
          <w:kern w:val="3"/>
          <w:lang w:val="fr-FR"/>
          <w14:textOutline w14:w="0" w14:cap="flat" w14:cmpd="sng" w14:algn="ctr">
            <w14:noFill/>
            <w14:prstDash w14:val="solid"/>
            <w14:bevel/>
          </w14:textOutline>
        </w:rPr>
        <w:t>vous r</w:t>
      </w:r>
      <w:r>
        <w:rPr>
          <w:rStyle w:val="Nessuno"/>
          <w:kern w:val="3"/>
          <w:lang w:val="fr-FR"/>
          <w14:textOutline w14:w="0" w14:cap="flat" w14:cmpd="sng" w14:algn="ctr">
            <w14:noFill/>
            <w14:prstDash w14:val="solid"/>
            <w14:bevel/>
          </w14:textOutline>
        </w:rPr>
        <w:t>é</w:t>
      </w:r>
      <w:r>
        <w:rPr>
          <w:rStyle w:val="Nessuno"/>
          <w:kern w:val="3"/>
          <w:lang w:val="fr-FR"/>
          <w14:textOutline w14:w="0" w14:cap="flat" w14:cmpd="sng" w14:algn="ctr">
            <w14:noFill/>
            <w14:prstDash w14:val="solid"/>
            <w14:bevel/>
          </w14:textOutline>
        </w:rPr>
        <w:t>organisez, transformez ou utilisez le support comme base pour le d</w:t>
      </w:r>
      <w:r>
        <w:rPr>
          <w:rStyle w:val="Nessuno"/>
          <w:kern w:val="3"/>
          <w:lang w:val="fr-FR"/>
          <w14:textOutline w14:w="0" w14:cap="flat" w14:cmpd="sng" w14:algn="ctr">
            <w14:noFill/>
            <w14:prstDash w14:val="solid"/>
            <w14:bevel/>
          </w14:textOutline>
        </w:rPr>
        <w:t>é</w:t>
      </w:r>
      <w:r>
        <w:rPr>
          <w:rStyle w:val="Nessuno"/>
          <w:kern w:val="3"/>
          <w:lang w:val="fr-FR"/>
          <w14:textOutline w14:w="0" w14:cap="flat" w14:cmpd="sng" w14:algn="ctr">
            <w14:noFill/>
            <w14:prstDash w14:val="solid"/>
            <w14:bevel/>
          </w14:textOutline>
        </w:rPr>
        <w:t xml:space="preserve">velopper, vous vous engagez </w:t>
      </w:r>
      <w:r>
        <w:rPr>
          <w:rStyle w:val="Nessuno"/>
          <w:kern w:val="3"/>
          <w:lang w:val="fr-FR"/>
          <w14:textOutline w14:w="0" w14:cap="flat" w14:cmpd="sng" w14:algn="ctr">
            <w14:noFill/>
            <w14:prstDash w14:val="solid"/>
            <w14:bevel/>
          </w14:textOutline>
        </w:rPr>
        <w:t xml:space="preserve">à </w:t>
      </w:r>
      <w:r>
        <w:rPr>
          <w:rStyle w:val="Nessuno"/>
          <w:kern w:val="3"/>
          <w:lang w:val="fr-FR"/>
          <w14:textOutline w14:w="0" w14:cap="flat" w14:cmpd="sng" w14:algn="ctr">
            <w14:noFill/>
            <w14:prstDash w14:val="solid"/>
            <w14:bevel/>
          </w14:textOutline>
        </w:rPr>
        <w:t xml:space="preserve">distribuer </w:t>
      </w:r>
      <w:r>
        <w:rPr>
          <w:rStyle w:val="Nessuno"/>
          <w:color w:val="00B0F0"/>
          <w:kern w:val="3"/>
          <w:u w:color="00B0F0"/>
          <w:lang w:val="fr-FR"/>
          <w14:textOutline w14:w="0" w14:cap="flat" w14:cmpd="sng" w14:algn="ctr">
            <w14:noFill/>
            <w14:prstDash w14:val="solid"/>
            <w14:bevel/>
          </w14:textOutline>
        </w:rPr>
        <w:t>vos contributions sous la m</w:t>
      </w:r>
      <w:r>
        <w:rPr>
          <w:rStyle w:val="Nessuno"/>
          <w:color w:val="00B0F0"/>
          <w:kern w:val="3"/>
          <w:u w:color="00B0F0"/>
          <w:lang w:val="fr-FR"/>
          <w14:textOutline w14:w="0" w14:cap="flat" w14:cmpd="sng" w14:algn="ctr">
            <w14:noFill/>
            <w14:prstDash w14:val="solid"/>
            <w14:bevel/>
          </w14:textOutline>
        </w:rPr>
        <w:t>ê</w:t>
      </w:r>
      <w:r>
        <w:rPr>
          <w:rStyle w:val="Nessuno"/>
          <w:color w:val="00B0F0"/>
          <w:kern w:val="3"/>
          <w:u w:color="00B0F0"/>
          <w:lang w:val="fr-FR"/>
          <w14:textOutline w14:w="0" w14:cap="flat" w14:cmpd="sng" w14:algn="ctr">
            <w14:noFill/>
            <w14:prstDash w14:val="solid"/>
            <w14:bevel/>
          </w14:textOutline>
        </w:rPr>
        <w:t>me licence que le support original</w:t>
      </w:r>
      <w:r>
        <w:rPr>
          <w:rStyle w:val="Nessuno"/>
          <w:kern w:val="3"/>
          <w:lang w:val="fr-FR"/>
          <w14:textOutline w14:w="0" w14:cap="flat" w14:cmpd="sng" w14:algn="ctr">
            <w14:noFill/>
            <w14:prstDash w14:val="solid"/>
            <w14:bevel/>
          </w14:textOutline>
        </w:rPr>
        <w:t>.</w:t>
      </w:r>
    </w:p>
    <w:p w:rsidR="00BE4007" w:rsidRDefault="00BE400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pacing w:before="100" w:after="200" w:line="312" w:lineRule="auto"/>
        <w:rPr>
          <w:rStyle w:val="Nessuno"/>
          <w:rFonts w:ascii="Calibri Light" w:eastAsia="Calibri Light" w:hAnsi="Calibri Light" w:cs="Calibri Light"/>
          <w14:textOutline w14:w="0" w14:cap="flat" w14:cmpd="sng" w14:algn="ctr">
            <w14:noFill/>
            <w14:prstDash w14:val="solid"/>
            <w14:bevel/>
          </w14:textOutline>
        </w:rPr>
      </w:pPr>
    </w:p>
    <w:p w:rsidR="00BE4007" w:rsidRDefault="00BE4007">
      <w:pPr>
        <w:jc w:val="center"/>
        <w:rPr>
          <w:rStyle w:val="Nessuno"/>
          <w:sz w:val="24"/>
          <w:szCs w:val="24"/>
          <w:lang w:val="it-IT"/>
        </w:rPr>
      </w:pPr>
    </w:p>
    <w:p w:rsidR="00BE4007" w:rsidRDefault="00BE4007">
      <w:pPr>
        <w:rPr>
          <w:rStyle w:val="Nessuno"/>
          <w:sz w:val="24"/>
          <w:szCs w:val="24"/>
          <w:lang w:val="it-IT"/>
        </w:rPr>
      </w:pPr>
    </w:p>
    <w:p w:rsidR="00BE4007" w:rsidRDefault="00BE4007">
      <w:pPr>
        <w:spacing w:line="240" w:lineRule="auto"/>
        <w:rPr>
          <w:rStyle w:val="Nessuno"/>
          <w:sz w:val="24"/>
          <w:szCs w:val="24"/>
          <w:lang w:val="it-IT"/>
        </w:rPr>
      </w:pPr>
    </w:p>
    <w:p w:rsidR="00BE4007" w:rsidRDefault="00BE4007">
      <w:pPr>
        <w:jc w:val="center"/>
        <w:rPr>
          <w:rStyle w:val="Nessuno"/>
          <w:sz w:val="24"/>
          <w:szCs w:val="24"/>
          <w:lang w:val="it-IT"/>
        </w:rPr>
      </w:pPr>
    </w:p>
    <w:p w:rsidR="00BE4007" w:rsidRDefault="00BE4007">
      <w:pPr>
        <w:jc w:val="center"/>
        <w:rPr>
          <w:rStyle w:val="Nessuno"/>
          <w:i/>
          <w:iCs/>
          <w:sz w:val="24"/>
          <w:szCs w:val="24"/>
          <w:lang w:val="it-IT"/>
        </w:rPr>
      </w:pPr>
    </w:p>
    <w:p w:rsidR="00BE4007" w:rsidRDefault="00BE4007">
      <w:pPr>
        <w:rPr>
          <w:rStyle w:val="Nessuno"/>
          <w:sz w:val="24"/>
          <w:szCs w:val="24"/>
          <w:lang w:val="it-IT"/>
        </w:rPr>
      </w:pPr>
    </w:p>
    <w:p w:rsidR="00BE4007" w:rsidRDefault="00BE4007">
      <w:pPr>
        <w:rPr>
          <w:rStyle w:val="Nessuno"/>
          <w:sz w:val="24"/>
          <w:szCs w:val="24"/>
          <w:lang w:val="it-IT"/>
        </w:rPr>
      </w:pPr>
    </w:p>
    <w:p w:rsidR="00BE4007" w:rsidRDefault="00BE4007">
      <w:pPr>
        <w:rPr>
          <w:rStyle w:val="Nessuno"/>
          <w:sz w:val="24"/>
          <w:szCs w:val="24"/>
          <w:lang w:val="it-IT"/>
        </w:rPr>
      </w:pPr>
    </w:p>
    <w:p w:rsidR="00BE4007" w:rsidRDefault="00BE4007">
      <w:pPr>
        <w:keepNext/>
        <w:keepLines/>
        <w:spacing w:before="240" w:after="0" w:line="259" w:lineRule="auto"/>
        <w:jc w:val="left"/>
        <w:rPr>
          <w:rStyle w:val="Nessuno"/>
          <w:b/>
          <w:bCs/>
          <w:sz w:val="24"/>
          <w:szCs w:val="24"/>
          <w:lang w:val="it-IT"/>
        </w:rPr>
      </w:pPr>
    </w:p>
    <w:p w:rsidR="00BE4007" w:rsidRDefault="00BE4007">
      <w:pPr>
        <w:keepNext/>
        <w:keepLines/>
        <w:spacing w:before="240" w:after="0" w:line="259" w:lineRule="auto"/>
        <w:jc w:val="left"/>
        <w:rPr>
          <w:rStyle w:val="Nessuno"/>
          <w:b/>
          <w:bCs/>
          <w:sz w:val="24"/>
          <w:szCs w:val="24"/>
          <w:lang w:val="it-IT"/>
        </w:rPr>
      </w:pPr>
    </w:p>
    <w:p w:rsidR="00BE4007" w:rsidRDefault="001D7EE7">
      <w:pPr>
        <w:keepNext/>
        <w:keepLines/>
        <w:spacing w:before="240" w:after="0" w:line="259" w:lineRule="auto"/>
        <w:jc w:val="left"/>
        <w:rPr>
          <w:rStyle w:val="Nessuno"/>
          <w:b/>
          <w:bCs/>
          <w:sz w:val="28"/>
          <w:szCs w:val="28"/>
          <w:lang w:val="it-IT"/>
        </w:rPr>
      </w:pPr>
      <w:r>
        <w:rPr>
          <w:rStyle w:val="Nessuno"/>
          <w:b/>
          <w:bCs/>
          <w:sz w:val="28"/>
          <w:szCs w:val="28"/>
          <w:lang w:val="it-IT"/>
        </w:rPr>
        <w:t>Contenu</w:t>
      </w:r>
    </w:p>
    <w:p w:rsidR="00BE4007" w:rsidRDefault="00BE4007">
      <w:pPr>
        <w:keepNext/>
        <w:keepLines/>
        <w:spacing w:before="240" w:after="0" w:line="259" w:lineRule="auto"/>
        <w:jc w:val="left"/>
        <w:rPr>
          <w:rStyle w:val="Nessuno"/>
          <w:b/>
          <w:bCs/>
          <w:sz w:val="24"/>
          <w:szCs w:val="24"/>
          <w:lang w:val="it-IT"/>
        </w:rPr>
      </w:pPr>
    </w:p>
    <w:p w:rsidR="00BE4007" w:rsidRDefault="00BE4007">
      <w:pPr>
        <w:keepNext/>
        <w:keepLines/>
        <w:spacing w:before="240" w:after="0" w:line="259" w:lineRule="auto"/>
        <w:jc w:val="left"/>
        <w:rPr>
          <w:rStyle w:val="Nessuno"/>
          <w:b/>
          <w:bCs/>
          <w:sz w:val="24"/>
          <w:szCs w:val="24"/>
          <w:lang w:val="it-IT"/>
        </w:rPr>
      </w:pPr>
    </w:p>
    <w:p w:rsidR="00BE4007" w:rsidRDefault="001D7EE7">
      <w:pPr>
        <w:pStyle w:val="Sommario2"/>
        <w:tabs>
          <w:tab w:val="right" w:pos="9046"/>
        </w:tabs>
        <w:rPr>
          <w:rStyle w:val="Nessuno"/>
          <w:lang w:val="it-IT"/>
        </w:rPr>
      </w:pPr>
      <w:r>
        <w:rPr>
          <w:lang w:val="it-IT"/>
        </w:rPr>
        <w:t>2.0 Introduction</w:t>
      </w:r>
      <w:r>
        <w:rPr>
          <w:rStyle w:val="Nessuno"/>
          <w:lang w:val="it-IT"/>
        </w:rPr>
        <w:tab/>
      </w:r>
      <w:r w:rsidR="004E7D4E">
        <w:rPr>
          <w:rStyle w:val="Nessuno"/>
          <w:lang w:val="it-IT"/>
        </w:rPr>
        <w:t>5</w:t>
      </w:r>
    </w:p>
    <w:p w:rsidR="00BE4007" w:rsidRDefault="001D7EE7">
      <w:pPr>
        <w:pStyle w:val="Sommario2"/>
        <w:tabs>
          <w:tab w:val="right" w:pos="9046"/>
        </w:tabs>
        <w:rPr>
          <w:rStyle w:val="Nessuno"/>
          <w:lang w:val="it-IT"/>
        </w:rPr>
      </w:pPr>
      <w:r>
        <w:rPr>
          <w:lang w:val="it-IT"/>
        </w:rPr>
        <w:t>2.1 Ouverture</w:t>
      </w:r>
      <w:r>
        <w:rPr>
          <w:rStyle w:val="Nessuno"/>
          <w:lang w:val="it-IT"/>
        </w:rPr>
        <w:tab/>
      </w:r>
      <w:r w:rsidR="004E7D4E">
        <w:rPr>
          <w:rStyle w:val="Nessuno"/>
          <w:lang w:val="it-IT"/>
        </w:rPr>
        <w:t>6</w:t>
      </w:r>
    </w:p>
    <w:p w:rsidR="00BE4007" w:rsidRDefault="001D7EE7">
      <w:pPr>
        <w:pStyle w:val="Sommario2"/>
        <w:tabs>
          <w:tab w:val="right" w:pos="9046"/>
        </w:tabs>
        <w:rPr>
          <w:lang w:val="it-IT"/>
        </w:rPr>
      </w:pPr>
      <w:r>
        <w:rPr>
          <w:lang w:val="it-IT"/>
        </w:rPr>
        <w:t>2.2 Facteurs de risque sanitaire selon les différentes étapes de la migration</w:t>
      </w:r>
      <w:r>
        <w:rPr>
          <w:lang w:val="it-IT"/>
        </w:rPr>
        <w:tab/>
      </w:r>
      <w:r w:rsidR="004E7D4E">
        <w:rPr>
          <w:lang w:val="it-IT"/>
        </w:rPr>
        <w:t>7</w:t>
      </w:r>
    </w:p>
    <w:p w:rsidR="00BE4007" w:rsidRDefault="001D7EE7">
      <w:pPr>
        <w:pStyle w:val="Sommario2"/>
        <w:tabs>
          <w:tab w:val="right" w:pos="9046"/>
        </w:tabs>
        <w:rPr>
          <w:lang w:val="it-IT"/>
        </w:rPr>
      </w:pPr>
      <w:r>
        <w:rPr>
          <w:lang w:val="it-IT"/>
        </w:rPr>
        <w:t>2.3 Explorer la santé physique et mentale des migrants</w:t>
      </w:r>
      <w:r>
        <w:rPr>
          <w:lang w:val="it-IT"/>
        </w:rPr>
        <w:tab/>
        <w:t>7</w:t>
      </w:r>
    </w:p>
    <w:p w:rsidR="00BE4007" w:rsidRDefault="001D7EE7">
      <w:pPr>
        <w:pStyle w:val="Sommario2"/>
        <w:tabs>
          <w:tab w:val="right" w:pos="9046"/>
        </w:tabs>
        <w:rPr>
          <w:rStyle w:val="Nessuno"/>
          <w:lang w:val="it-IT"/>
        </w:rPr>
      </w:pPr>
      <w:r>
        <w:rPr>
          <w:lang w:val="it-IT"/>
        </w:rPr>
        <w:t>2.4. Stratégie di prévention</w:t>
      </w:r>
      <w:r>
        <w:rPr>
          <w:rStyle w:val="Nessuno"/>
          <w:lang w:val="it-IT"/>
        </w:rPr>
        <w:tab/>
        <w:t>9</w:t>
      </w:r>
    </w:p>
    <w:p w:rsidR="00BE4007" w:rsidRDefault="001D7EE7">
      <w:pPr>
        <w:pStyle w:val="Sommario2"/>
        <w:tabs>
          <w:tab w:val="right" w:pos="9046"/>
        </w:tabs>
        <w:rPr>
          <w:rStyle w:val="Nessuno"/>
          <w:lang w:val="it-IT"/>
        </w:rPr>
      </w:pPr>
      <w:r>
        <w:rPr>
          <w:lang w:val="it-IT"/>
        </w:rPr>
        <w:t>2.5 Bibliographie</w:t>
      </w:r>
      <w:r>
        <w:rPr>
          <w:rStyle w:val="Nessuno"/>
          <w:lang w:val="it-IT"/>
        </w:rPr>
        <w:tab/>
        <w:t>10</w:t>
      </w:r>
    </w:p>
    <w:p w:rsidR="00BE4007" w:rsidRDefault="00BE4007">
      <w:pPr>
        <w:rPr>
          <w:rStyle w:val="Nessuno"/>
          <w:lang w:val="it-IT"/>
        </w:rPr>
      </w:pPr>
    </w:p>
    <w:p w:rsidR="00BE4007" w:rsidRDefault="001D7EE7">
      <w:r>
        <w:rPr>
          <w:rStyle w:val="Nessuno"/>
          <w:rFonts w:ascii="Arial Unicode MS" w:hAnsi="Arial Unicode MS"/>
          <w:lang w:val="it-IT"/>
        </w:rPr>
        <w:br w:type="page"/>
      </w:r>
    </w:p>
    <w:p w:rsidR="00BE4007" w:rsidRDefault="001D7EE7">
      <w:pPr>
        <w:pStyle w:val="Titolo2"/>
        <w:rPr>
          <w:rStyle w:val="Nessuno"/>
          <w:lang w:val="it-IT"/>
        </w:rPr>
      </w:pPr>
      <w:r>
        <w:rPr>
          <w:rStyle w:val="Nessuno"/>
          <w:lang w:val="it-IT"/>
        </w:rPr>
        <w:lastRenderedPageBreak/>
        <w:t>2.0 Introduction</w:t>
      </w:r>
    </w:p>
    <w:p w:rsidR="00BE4007" w:rsidRDefault="00BE4007">
      <w:pPr>
        <w:rPr>
          <w:rStyle w:val="Nessuno"/>
          <w:sz w:val="24"/>
          <w:szCs w:val="24"/>
          <w:lang w:val="it-IT"/>
        </w:rPr>
      </w:pPr>
    </w:p>
    <w:p w:rsidR="00BE4007" w:rsidRDefault="001D7EE7">
      <w:pPr>
        <w:rPr>
          <w:rStyle w:val="Nessuno"/>
          <w:sz w:val="24"/>
          <w:szCs w:val="24"/>
          <w:lang w:val="it-IT"/>
        </w:rPr>
      </w:pPr>
      <w:r>
        <w:rPr>
          <w:lang w:val="it-IT"/>
        </w:rPr>
        <w:t xml:space="preserve"> </w:t>
      </w:r>
      <w:r>
        <w:rPr>
          <w:rStyle w:val="Nessuno"/>
          <w:sz w:val="24"/>
          <w:szCs w:val="24"/>
          <w:lang w:val="it-IT"/>
        </w:rPr>
        <w:t>Le manuel suivant fait partie de l'</w:t>
      </w:r>
      <w:r>
        <w:rPr>
          <w:rStyle w:val="Nessuno"/>
          <w:i/>
          <w:iCs/>
          <w:sz w:val="24"/>
          <w:szCs w:val="24"/>
          <w:lang w:val="it-IT"/>
        </w:rPr>
        <w:t>output</w:t>
      </w:r>
      <w:r>
        <w:rPr>
          <w:rStyle w:val="Nessuno"/>
          <w:sz w:val="24"/>
          <w:szCs w:val="24"/>
          <w:lang w:val="it-IT"/>
        </w:rPr>
        <w:t xml:space="preserve"> intellectuel 2 du projet MIG-DHL. Ce manuel couvre les six modules:</w:t>
      </w:r>
    </w:p>
    <w:p w:rsidR="00BE4007" w:rsidRDefault="001D7EE7">
      <w:pPr>
        <w:numPr>
          <w:ilvl w:val="0"/>
          <w:numId w:val="4"/>
        </w:numPr>
        <w:spacing w:after="0"/>
        <w:rPr>
          <w:sz w:val="24"/>
          <w:szCs w:val="24"/>
          <w:lang w:val="fr-FR"/>
          <w14:textOutline w14:w="0" w14:cap="flat" w14:cmpd="sng" w14:algn="ctr">
            <w14:noFill/>
            <w14:prstDash w14:val="solid"/>
            <w14:bevel/>
          </w14:textOutline>
        </w:rPr>
      </w:pPr>
      <w:r>
        <w:rPr>
          <w:rStyle w:val="Nessuno"/>
          <w:sz w:val="24"/>
          <w:szCs w:val="24"/>
          <w:lang w:val="fr-FR"/>
          <w14:textOutline w14:w="0" w14:cap="flat" w14:cmpd="sng" w14:algn="ctr">
            <w14:noFill/>
            <w14:prstDash w14:val="solid"/>
            <w14:bevel/>
          </w14:textOutline>
        </w:rPr>
        <w:t>Qu’est-ce que l’éducation en matière de santé [Digital Health Literacy</w:t>
      </w:r>
      <w:proofErr w:type="gramStart"/>
      <w:r>
        <w:rPr>
          <w:rStyle w:val="Nessuno"/>
          <w:sz w:val="24"/>
          <w:szCs w:val="24"/>
          <w:lang w:val="fr-FR"/>
          <w14:textOutline w14:w="0" w14:cap="flat" w14:cmpd="sng" w14:algn="ctr">
            <w14:noFill/>
            <w14:prstDash w14:val="solid"/>
            <w14:bevel/>
          </w14:textOutline>
        </w:rPr>
        <w:t>]</w:t>
      </w:r>
      <w:r>
        <w:rPr>
          <w:rStyle w:val="Nessuno"/>
          <w:sz w:val="24"/>
          <w:szCs w:val="24"/>
          <w:lang w:val="it-IT"/>
          <w14:textOutline w14:w="0" w14:cap="flat" w14:cmpd="sng" w14:algn="ctr">
            <w14:noFill/>
            <w14:prstDash w14:val="solid"/>
            <w14:bevel/>
          </w14:textOutline>
        </w:rPr>
        <w:t>?</w:t>
      </w:r>
      <w:proofErr w:type="gramEnd"/>
    </w:p>
    <w:p w:rsidR="00BE4007" w:rsidRDefault="001D7EE7">
      <w:pPr>
        <w:numPr>
          <w:ilvl w:val="0"/>
          <w:numId w:val="4"/>
        </w:numPr>
        <w:spacing w:after="0"/>
        <w:rPr>
          <w:b/>
          <w:bCs/>
          <w:sz w:val="24"/>
          <w:szCs w:val="24"/>
          <w:lang w:val="it-IT"/>
          <w14:textOutline w14:w="0" w14:cap="flat" w14:cmpd="sng" w14:algn="ctr">
            <w14:noFill/>
            <w14:prstDash w14:val="solid"/>
            <w14:bevel/>
          </w14:textOutline>
        </w:rPr>
      </w:pPr>
      <w:r>
        <w:rPr>
          <w:b/>
          <w:bCs/>
          <w:sz w:val="24"/>
          <w:szCs w:val="24"/>
          <w:lang w:val="it-IT"/>
          <w14:textOutline w14:w="0" w14:cap="flat" w14:cmpd="sng" w14:algn="ctr">
            <w14:noFill/>
            <w14:prstDash w14:val="solid"/>
            <w14:bevel/>
          </w14:textOutline>
        </w:rPr>
        <w:t xml:space="preserve">Les principaux problèmes de santé à l'arrivée dans un nouveau pays </w:t>
      </w:r>
    </w:p>
    <w:p w:rsidR="00BE4007" w:rsidRDefault="001D7EE7">
      <w:pPr>
        <w:numPr>
          <w:ilvl w:val="0"/>
          <w:numId w:val="4"/>
        </w:numPr>
        <w:spacing w:after="0"/>
        <w:rPr>
          <w:sz w:val="24"/>
          <w:szCs w:val="24"/>
          <w:lang w:val="it-IT"/>
          <w14:textOutline w14:w="0" w14:cap="flat" w14:cmpd="sng" w14:algn="ctr">
            <w14:noFill/>
            <w14:prstDash w14:val="solid"/>
            <w14:bevel/>
          </w14:textOutline>
        </w:rPr>
      </w:pPr>
      <w:r>
        <w:rPr>
          <w:rStyle w:val="Nessuno"/>
          <w:sz w:val="24"/>
          <w:szCs w:val="24"/>
          <w:lang w:val="it-IT"/>
          <w14:textOutline w14:w="0" w14:cap="flat" w14:cmpd="sng" w14:algn="ctr">
            <w14:noFill/>
            <w14:prstDash w14:val="solid"/>
            <w14:bevel/>
          </w14:textOutline>
        </w:rPr>
        <w:t>Les services nationaux de santé</w:t>
      </w:r>
      <w:r>
        <w:rPr>
          <w:rStyle w:val="Nessuno"/>
          <w:sz w:val="24"/>
          <w:szCs w:val="24"/>
          <w:lang w:val="it-IT"/>
          <w14:textOutline w14:w="0" w14:cap="flat" w14:cmpd="sng" w14:algn="ctr">
            <w14:noFill/>
            <w14:prstDash w14:val="solid"/>
            <w14:bevel/>
          </w14:textOutline>
        </w:rPr>
        <w:t xml:space="preserve"> </w:t>
      </w:r>
    </w:p>
    <w:p w:rsidR="00BE4007" w:rsidRDefault="001D7EE7">
      <w:pPr>
        <w:numPr>
          <w:ilvl w:val="0"/>
          <w:numId w:val="4"/>
        </w:numPr>
        <w:spacing w:after="0"/>
        <w:rPr>
          <w:sz w:val="24"/>
          <w:szCs w:val="24"/>
          <w:lang w:val="fr-FR"/>
          <w14:textOutline w14:w="0" w14:cap="flat" w14:cmpd="sng" w14:algn="ctr">
            <w14:noFill/>
            <w14:prstDash w14:val="solid"/>
            <w14:bevel/>
          </w14:textOutline>
        </w:rPr>
      </w:pPr>
      <w:r>
        <w:rPr>
          <w:rStyle w:val="Nessuno"/>
          <w:sz w:val="24"/>
          <w:szCs w:val="24"/>
          <w:lang w:val="fr-FR"/>
          <w14:textOutline w14:w="0" w14:cap="flat" w14:cmpd="sng" w14:algn="ctr">
            <w14:noFill/>
            <w14:prstDash w14:val="solid"/>
            <w14:bevel/>
          </w14:textOutline>
        </w:rPr>
        <w:t xml:space="preserve">Développer </w:t>
      </w:r>
      <w:proofErr w:type="gramStart"/>
      <w:r>
        <w:rPr>
          <w:rStyle w:val="Nessuno"/>
          <w:sz w:val="24"/>
          <w:szCs w:val="24"/>
          <w:lang w:val="fr-FR"/>
          <w14:textOutline w14:w="0" w14:cap="flat" w14:cmpd="sng" w14:algn="ctr">
            <w14:noFill/>
            <w14:prstDash w14:val="solid"/>
            <w14:bevel/>
          </w14:textOutline>
        </w:rPr>
        <w:t>ses connaissances numérique</w:t>
      </w:r>
      <w:proofErr w:type="gramEnd"/>
      <w:r>
        <w:rPr>
          <w:rStyle w:val="Nessuno"/>
          <w:sz w:val="24"/>
          <w:szCs w:val="24"/>
          <w:lang w:val="fr-FR"/>
          <w14:textOutline w14:w="0" w14:cap="flat" w14:cmpd="sng" w14:algn="ctr">
            <w14:noFill/>
            <w14:prstDash w14:val="solid"/>
            <w14:bevel/>
          </w14:textOutline>
        </w:rPr>
        <w:t xml:space="preserve"> </w:t>
      </w:r>
    </w:p>
    <w:p w:rsidR="00BE4007" w:rsidRDefault="001D7EE7">
      <w:pPr>
        <w:numPr>
          <w:ilvl w:val="0"/>
          <w:numId w:val="4"/>
        </w:numPr>
        <w:spacing w:after="0"/>
        <w:rPr>
          <w:sz w:val="24"/>
          <w:szCs w:val="24"/>
          <w:lang w:val="fr-FR"/>
          <w14:textOutline w14:w="0" w14:cap="flat" w14:cmpd="sng" w14:algn="ctr">
            <w14:noFill/>
            <w14:prstDash w14:val="solid"/>
            <w14:bevel/>
          </w14:textOutline>
        </w:rPr>
      </w:pPr>
      <w:r>
        <w:rPr>
          <w:rStyle w:val="Nessuno"/>
          <w:sz w:val="24"/>
          <w:szCs w:val="24"/>
          <w:lang w:val="fr-FR"/>
          <w14:textOutline w14:w="0" w14:cap="flat" w14:cmpd="sng" w14:algn="ctr">
            <w14:noFill/>
            <w14:prstDash w14:val="solid"/>
            <w14:bevel/>
          </w14:textOutline>
        </w:rPr>
        <w:t xml:space="preserve">Découvrir les outils de santé numérique </w:t>
      </w:r>
    </w:p>
    <w:p w:rsidR="00BE4007" w:rsidRDefault="001D7EE7">
      <w:pPr>
        <w:numPr>
          <w:ilvl w:val="0"/>
          <w:numId w:val="4"/>
        </w:numPr>
        <w:rPr>
          <w:sz w:val="24"/>
          <w:szCs w:val="24"/>
          <w:lang w:val="fr-FR"/>
          <w14:textOutline w14:w="0" w14:cap="flat" w14:cmpd="sng" w14:algn="ctr">
            <w14:noFill/>
            <w14:prstDash w14:val="solid"/>
            <w14:bevel/>
          </w14:textOutline>
        </w:rPr>
      </w:pPr>
      <w:r>
        <w:rPr>
          <w:rStyle w:val="Nessuno"/>
          <w:sz w:val="24"/>
          <w:szCs w:val="24"/>
          <w:lang w:val="fr-FR"/>
          <w14:textOutline w14:w="0" w14:cap="flat" w14:cmpd="sng" w14:algn="ctr">
            <w14:noFill/>
            <w14:prstDash w14:val="solid"/>
            <w14:bevel/>
          </w14:textOutline>
        </w:rPr>
        <w:t>Être actif dans l’environnement de la santé numérique</w:t>
      </w:r>
    </w:p>
    <w:p w:rsidR="00BE4007" w:rsidRDefault="001D7EE7">
      <w:pPr>
        <w:rPr>
          <w:lang w:val="it-IT"/>
        </w:rPr>
      </w:pPr>
      <w:r>
        <w:rPr>
          <w:lang w:val="it-IT"/>
        </w:rPr>
        <w:t>Le manuel s'adresse spécifiquement aux formateurs et aux collaborateurs (travailleurs sociaux, de santé, etc.) dans le but de pouvoir leur apporter une connaissance plus approfondie des sujets abordés dans le</w:t>
      </w:r>
      <w:r>
        <w:rPr>
          <w:lang w:val="it-IT"/>
        </w:rPr>
        <w:t>s sessions de formation. De plus, le formateur est prêt à répondre à des questions plus détaillées que les informations fournies dans le matériel de formation. Par conséquent, ce manuel fournit des connaissances plus approfondies et des liens vers des ress</w:t>
      </w:r>
      <w:r>
        <w:rPr>
          <w:lang w:val="it-IT"/>
        </w:rPr>
        <w:t xml:space="preserve">ources supplémentaires liées au contenu, principalement pour les formateurs, mais bien sûr aussi pour toutes les autres personnes qui souhaitent en savoir plus sur les sujets. </w:t>
      </w:r>
    </w:p>
    <w:p w:rsidR="00BE4007" w:rsidRDefault="001D7EE7">
      <w:pPr>
        <w:rPr>
          <w:lang w:val="it-IT"/>
        </w:rPr>
      </w:pPr>
      <w:r>
        <w:rPr>
          <w:rStyle w:val="Nessuno"/>
          <w:lang w:val="it-IT"/>
        </w:rPr>
        <w:t>La structure du manuel est orientée vers la structure du programme de formation</w:t>
      </w:r>
      <w:r>
        <w:rPr>
          <w:rStyle w:val="Nessuno"/>
          <w:lang w:val="it-IT"/>
        </w:rPr>
        <w:t>. Chaque module comporte un chapitre d'environ 6 à 8 pages.</w:t>
      </w:r>
    </w:p>
    <w:p w:rsidR="00BE4007" w:rsidRDefault="001D7EE7">
      <w:pPr>
        <w:spacing w:after="0"/>
        <w:rPr>
          <w:rStyle w:val="Nessuno"/>
          <w:b/>
          <w:bCs/>
          <w:lang w:val="it-IT"/>
        </w:rPr>
      </w:pPr>
      <w:r>
        <w:rPr>
          <w:lang w:val="it-IT"/>
        </w:rPr>
        <w:t xml:space="preserve">Cette partie particulière du manuel contient des informations sur le </w:t>
      </w:r>
      <w:r>
        <w:rPr>
          <w:rStyle w:val="Nessuno"/>
          <w:b/>
          <w:bCs/>
          <w:lang w:val="it-IT"/>
        </w:rPr>
        <w:t>Module 2: Les principaux problèmes de santé à l'arrivée dans un nouveau pays</w:t>
      </w:r>
      <w:r>
        <w:rPr>
          <w:lang w:val="it-IT"/>
        </w:rPr>
        <w:t>. Vous trouverez ici les informations théoriques né</w:t>
      </w:r>
      <w:r>
        <w:rPr>
          <w:lang w:val="it-IT"/>
        </w:rPr>
        <w:t xml:space="preserve">cessaires pour soutenir le contenu et les activités de </w:t>
      </w:r>
      <w:r>
        <w:rPr>
          <w:rStyle w:val="Nessuno"/>
          <w:b/>
          <w:bCs/>
          <w:lang w:val="it-IT"/>
        </w:rPr>
        <w:t>DPTA_2</w:t>
      </w:r>
      <w:r>
        <w:rPr>
          <w:lang w:val="it-IT"/>
        </w:rPr>
        <w:t>.</w:t>
      </w:r>
      <w:r>
        <w:rPr>
          <w:rStyle w:val="Nessuno"/>
          <w:b/>
          <w:bCs/>
          <w:lang w:val="it-IT"/>
        </w:rPr>
        <w:t xml:space="preserve"> </w:t>
      </w:r>
    </w:p>
    <w:p w:rsidR="00BE4007" w:rsidRDefault="001D7EE7">
      <w:pPr>
        <w:spacing w:after="0"/>
        <w:rPr>
          <w:lang w:val="it-IT"/>
        </w:rPr>
      </w:pPr>
      <w:r>
        <w:rPr>
          <w:rStyle w:val="Nessuno"/>
          <w:lang w:val="it-IT"/>
        </w:rPr>
        <w:t xml:space="preserve">Le </w:t>
      </w:r>
      <w:r>
        <w:rPr>
          <w:rStyle w:val="Nessuno"/>
          <w:b/>
          <w:bCs/>
          <w:lang w:val="it-IT"/>
        </w:rPr>
        <w:t xml:space="preserve">Module 2 "Les principaux problèmes de santé à l'arrivée dans un nouveau pays" </w:t>
      </w:r>
      <w:r>
        <w:rPr>
          <w:lang w:val="it-IT"/>
        </w:rPr>
        <w:t>met l'accent sur la sensibilisation aux principaux problèmes de santé auxquels les migrants peuvent être partic</w:t>
      </w:r>
      <w:r>
        <w:rPr>
          <w:lang w:val="it-IT"/>
        </w:rPr>
        <w:t>ulièrement exposés à leur arrivée dans un nouveau pays. Le matériel de formation se concentre sur les facteurs qui influencent la santé avant, pendant et après l'arrivée des migrants dans le pays d'accueil. Chacune de ces phases a un impact sur la santé ph</w:t>
      </w:r>
      <w:r>
        <w:rPr>
          <w:lang w:val="it-IT"/>
        </w:rPr>
        <w:t xml:space="preserve">ysique et mentale des migrants et, dans certains cas, elles sont interconnectées et interdépendantes. </w:t>
      </w:r>
    </w:p>
    <w:p w:rsidR="00BE4007" w:rsidRDefault="001D7EE7">
      <w:pPr>
        <w:spacing w:after="0"/>
        <w:rPr>
          <w:rStyle w:val="Nessuno"/>
          <w:color w:val="222222"/>
          <w:u w:color="222222"/>
          <w:lang w:val="it-IT"/>
        </w:rPr>
      </w:pPr>
      <w:r>
        <w:rPr>
          <w:rStyle w:val="Nessuno"/>
          <w:color w:val="222222"/>
          <w:u w:color="222222"/>
          <w:lang w:val="it-IT"/>
        </w:rPr>
        <w:lastRenderedPageBreak/>
        <w:t>Les problèmes de santé ne se manifestent pas seulement par les symptômes des maladies, mais peuvent également être abordés en prêtant attention à des élé</w:t>
      </w:r>
      <w:r>
        <w:rPr>
          <w:rStyle w:val="Nessuno"/>
          <w:color w:val="222222"/>
          <w:u w:color="222222"/>
          <w:lang w:val="it-IT"/>
        </w:rPr>
        <w:t xml:space="preserve">ments culturels tels que la langue, les termes utilisés et les différentes manières d'aborder la maladie. Souvent, derrière les symptômes et leur description, il y a des récits spécifiques d'éléments </w:t>
      </w:r>
      <w:proofErr w:type="gramStart"/>
      <w:r>
        <w:rPr>
          <w:rStyle w:val="Nessuno"/>
          <w:color w:val="222222"/>
          <w:u w:color="222222"/>
          <w:lang w:val="it-IT"/>
        </w:rPr>
        <w:t>culturels :</w:t>
      </w:r>
      <w:proofErr w:type="gramEnd"/>
      <w:r>
        <w:rPr>
          <w:rStyle w:val="Nessuno"/>
          <w:color w:val="222222"/>
          <w:u w:color="222222"/>
          <w:lang w:val="it-IT"/>
        </w:rPr>
        <w:t xml:space="preserve"> nous pensons qu'il est très important de sen</w:t>
      </w:r>
      <w:r>
        <w:rPr>
          <w:rStyle w:val="Nessuno"/>
          <w:color w:val="222222"/>
          <w:u w:color="222222"/>
          <w:lang w:val="it-IT"/>
        </w:rPr>
        <w:t xml:space="preserve">sibiliser sur ces aspects les personnes impliquées dans la prise en charge des parcours thérapeutiques des migrants. </w:t>
      </w:r>
    </w:p>
    <w:p w:rsidR="00BE4007" w:rsidRDefault="001D7EE7">
      <w:pPr>
        <w:spacing w:after="0"/>
        <w:rPr>
          <w:rStyle w:val="Nessuno"/>
          <w:color w:val="222222"/>
          <w:u w:color="222222"/>
          <w:lang w:val="it-IT"/>
        </w:rPr>
      </w:pPr>
      <w:r>
        <w:rPr>
          <w:rStyle w:val="Nessuno"/>
          <w:color w:val="222222"/>
          <w:u w:color="222222"/>
          <w:lang w:val="it-IT"/>
        </w:rPr>
        <w:t>Le module décrit les maladies les plus courantes et les thérapies associé</w:t>
      </w:r>
      <w:r>
        <w:rPr>
          <w:rStyle w:val="Nessuno"/>
          <w:color w:val="222222"/>
          <w:u w:color="222222"/>
          <w:lang w:val="it-IT"/>
        </w:rPr>
        <w:t>es qu'un migrant peut rencontrer dans le pays d'accueil et comment celles-ci peuvent être traitées à l'aide de moyens numériques. Un autre objectif du module est d'explorer les principaux comportements déterminants de la santé, leur corrélation et leur inf</w:t>
      </w:r>
      <w:r>
        <w:rPr>
          <w:rStyle w:val="Nessuno"/>
          <w:color w:val="222222"/>
          <w:u w:color="222222"/>
          <w:lang w:val="it-IT"/>
        </w:rPr>
        <w:t>luence possible sur les résultats de santé. De plus, le module vise à décrire les stratégies de prévention de première ligne que les migrants doivent connaître à leur arrivée dans le pPays d'accueil.</w:t>
      </w:r>
    </w:p>
    <w:p w:rsidR="00BE4007" w:rsidRDefault="00BE4007">
      <w:pPr>
        <w:spacing w:after="0"/>
        <w:rPr>
          <w:rStyle w:val="Nessuno"/>
          <w:sz w:val="24"/>
          <w:szCs w:val="24"/>
          <w:lang w:val="it-IT"/>
        </w:rPr>
      </w:pPr>
    </w:p>
    <w:p w:rsidR="00BE4007" w:rsidRDefault="001D7EE7">
      <w:pPr>
        <w:pStyle w:val="Titolo2"/>
        <w:rPr>
          <w:rStyle w:val="Nessuno"/>
          <w:lang w:val="it-IT"/>
        </w:rPr>
      </w:pPr>
      <w:r>
        <w:rPr>
          <w:rStyle w:val="Nessuno"/>
          <w:lang w:val="it-IT"/>
        </w:rPr>
        <w:t>2.1 Ouverture du module</w:t>
      </w:r>
    </w:p>
    <w:p w:rsidR="00BE4007" w:rsidRDefault="00BE4007">
      <w:pPr>
        <w:rPr>
          <w:rStyle w:val="Nessuno"/>
          <w:lang w:val="it-IT"/>
        </w:rPr>
      </w:pPr>
    </w:p>
    <w:p w:rsidR="00BE4007" w:rsidRDefault="001D7EE7">
      <w:pPr>
        <w:rPr>
          <w:lang w:val="it-IT"/>
        </w:rPr>
      </w:pPr>
      <w:r>
        <w:rPr>
          <w:lang w:val="it-IT"/>
        </w:rPr>
        <w:t>Lors de l'ouverture, le format</w:t>
      </w:r>
      <w:r>
        <w:rPr>
          <w:lang w:val="it-IT"/>
        </w:rPr>
        <w:t>eur doit expliquer les objectifs de la session, la durée, la structure et les activités qui seront réalisées. Gardez à l'esprit que les participants peuvent provenir de formations très différentes et ne sont pas nécessairement habitués à un environnement d</w:t>
      </w:r>
      <w:r>
        <w:rPr>
          <w:lang w:val="it-IT"/>
        </w:rPr>
        <w:t>'apprentissage formel. Pour cette raison, il peut être conseillé d'ouvrir la session par un moment de présentation informel, en interrogeant les participants sur leur parcours et leurs intérêts. Essayez d'en savoir plus sur leur niveau d'études si celui-ci</w:t>
      </w:r>
      <w:r>
        <w:rPr>
          <w:lang w:val="it-IT"/>
        </w:rPr>
        <w:t xml:space="preserve"> n'est pas connu avant la formation.</w:t>
      </w:r>
    </w:p>
    <w:p w:rsidR="00BE4007" w:rsidRDefault="001D7EE7">
      <w:pPr>
        <w:rPr>
          <w:lang w:val="it-IT"/>
        </w:rPr>
      </w:pPr>
      <w:r>
        <w:rPr>
          <w:lang w:val="it-IT"/>
        </w:rPr>
        <w:t xml:space="preserve">Pour suivre ce module, </w:t>
      </w:r>
      <w:proofErr w:type="gramStart"/>
      <w:r>
        <w:rPr>
          <w:lang w:val="it-IT"/>
        </w:rPr>
        <w:t>il est</w:t>
      </w:r>
      <w:proofErr w:type="gramEnd"/>
      <w:r>
        <w:rPr>
          <w:lang w:val="it-IT"/>
        </w:rPr>
        <w:t xml:space="preserve"> supposé que les élèves sont alphabétisés et suffisamment compétents en écriture, en lecture et ont suivi un parcours scolaire qui leur a fourni les compétences de base. On suppose également</w:t>
      </w:r>
      <w:r>
        <w:rPr>
          <w:lang w:val="it-IT"/>
        </w:rPr>
        <w:t xml:space="preserve"> qu'ils sont familiarisés avec l'utilisation d'appareils numériques mobiles. Demandez à votre groupe d'étudiants de connaître ces aspects, afin que vous puissiez mieux évaluer les problèmes et adapter la formation en conséquence.</w:t>
      </w:r>
    </w:p>
    <w:p w:rsidR="00BE4007" w:rsidRDefault="001D7EE7">
      <w:pPr>
        <w:rPr>
          <w:lang w:val="it-IT"/>
        </w:rPr>
      </w:pPr>
      <w:r>
        <w:rPr>
          <w:lang w:val="it-IT"/>
        </w:rPr>
        <w:t>Par souci des besoins de l</w:t>
      </w:r>
      <w:r>
        <w:rPr>
          <w:lang w:val="it-IT"/>
        </w:rPr>
        <w:t>a formation, les étudiants doivent avoir accès à un outil numérique, qui peut être un téléphone portable, une tablette ou un PC.</w:t>
      </w:r>
    </w:p>
    <w:p w:rsidR="00BE4007" w:rsidRDefault="001D7EE7">
      <w:pPr>
        <w:rPr>
          <w:lang w:val="it-IT"/>
        </w:rPr>
      </w:pPr>
      <w:r>
        <w:rPr>
          <w:lang w:val="it-IT"/>
        </w:rPr>
        <w:lastRenderedPageBreak/>
        <w:t>Il est important d'encourager la participation active de tous et d'accorder une attention particulière à ceux qui ne participen</w:t>
      </w:r>
      <w:r>
        <w:rPr>
          <w:lang w:val="it-IT"/>
        </w:rPr>
        <w:t xml:space="preserve">t pas activement à la </w:t>
      </w:r>
      <w:proofErr w:type="gramStart"/>
      <w:r>
        <w:rPr>
          <w:lang w:val="it-IT"/>
        </w:rPr>
        <w:t>session :</w:t>
      </w:r>
      <w:proofErr w:type="gramEnd"/>
      <w:r>
        <w:rPr>
          <w:lang w:val="it-IT"/>
        </w:rPr>
        <w:t xml:space="preserve"> les raisons peuvent être différentes, telles que la timidité ou le manque de compétences linguistiques. </w:t>
      </w:r>
    </w:p>
    <w:p w:rsidR="00BE4007" w:rsidRDefault="001D7EE7">
      <w:pPr>
        <w:rPr>
          <w:lang w:val="it-IT"/>
        </w:rPr>
      </w:pPr>
      <w:r>
        <w:rPr>
          <w:lang w:val="it-IT"/>
        </w:rPr>
        <w:t xml:space="preserve">Présentez les activités pratiques et formulez clairement vos attentes en matière de participation active au début, car </w:t>
      </w:r>
      <w:r>
        <w:rPr>
          <w:lang w:val="it-IT"/>
        </w:rPr>
        <w:t xml:space="preserve">cette formation se concentre non seulement sur l'écoute, mais sur la pratique et l'apprentissage par la participation active. Sachez que vos élèves, peut-être, ne sont pas familiers </w:t>
      </w:r>
      <w:proofErr w:type="gramStart"/>
      <w:r>
        <w:rPr>
          <w:lang w:val="it-IT"/>
        </w:rPr>
        <w:t>au  concept</w:t>
      </w:r>
      <w:proofErr w:type="gramEnd"/>
      <w:r>
        <w:rPr>
          <w:lang w:val="it-IT"/>
        </w:rPr>
        <w:t xml:space="preserve"> didactique.</w:t>
      </w:r>
    </w:p>
    <w:p w:rsidR="00BE4007" w:rsidRDefault="001D7EE7">
      <w:pPr>
        <w:pStyle w:val="Titolo2"/>
        <w:rPr>
          <w:rStyle w:val="Nessuno"/>
          <w:lang w:val="it-IT"/>
        </w:rPr>
      </w:pPr>
      <w:r>
        <w:rPr>
          <w:rStyle w:val="Nessuno"/>
          <w:lang w:val="it-IT"/>
        </w:rPr>
        <w:t xml:space="preserve">2.2 </w:t>
      </w:r>
      <w:r>
        <w:rPr>
          <w:rStyle w:val="Nessuno"/>
          <w:color w:val="222222"/>
          <w:u w:color="222222"/>
          <w:lang w:val="it-IT"/>
        </w:rPr>
        <w:t>Facteurs de risque sanitaire selon les différe</w:t>
      </w:r>
      <w:r>
        <w:rPr>
          <w:rStyle w:val="Nessuno"/>
          <w:color w:val="222222"/>
          <w:u w:color="222222"/>
          <w:lang w:val="it-IT"/>
        </w:rPr>
        <w:t>ntes étapes de la migration</w:t>
      </w:r>
    </w:p>
    <w:p w:rsidR="00BE4007" w:rsidRDefault="00BE4007">
      <w:pPr>
        <w:spacing w:after="0"/>
        <w:rPr>
          <w:rStyle w:val="Nessuno"/>
          <w:color w:val="222222"/>
          <w:sz w:val="24"/>
          <w:szCs w:val="24"/>
          <w:u w:color="222222"/>
          <w:lang w:val="it-IT"/>
        </w:rPr>
      </w:pPr>
    </w:p>
    <w:p w:rsidR="00BE4007" w:rsidRDefault="001D7EE7">
      <w:pPr>
        <w:spacing w:after="0"/>
        <w:rPr>
          <w:rStyle w:val="Nessuno"/>
          <w:color w:val="222222"/>
          <w:u w:color="222222"/>
          <w:lang w:val="it-IT"/>
        </w:rPr>
      </w:pPr>
      <w:r>
        <w:rPr>
          <w:rStyle w:val="Nessuno"/>
          <w:color w:val="222222"/>
          <w:u w:color="222222"/>
          <w:lang w:val="it-IT"/>
        </w:rPr>
        <w:t>Les risques pour la santé des migrants surviennent à chaque étape du processus migratoire, à partir du moment du départ du pays d'origine (surtout si l'on vient de situations d'instabilité politique/sociale ou de conflits). Div</w:t>
      </w:r>
      <w:r>
        <w:rPr>
          <w:rStyle w:val="Nessuno"/>
          <w:color w:val="222222"/>
          <w:u w:color="222222"/>
          <w:lang w:val="it-IT"/>
        </w:rPr>
        <w:t>ers risques peuvent également survenir au cours du voyage et dans le pays de destination ou de transit, mais aussi dans les éventuelles phases de «relocalisation». Demandez donc aux participants de réfléchir aux différents risques sanitaires qui peuvent dé</w:t>
      </w:r>
      <w:r>
        <w:rPr>
          <w:rStyle w:val="Nessuno"/>
          <w:color w:val="222222"/>
          <w:u w:color="222222"/>
          <w:lang w:val="it-IT"/>
        </w:rPr>
        <w:t xml:space="preserve">couler du processus migratoire, sans nécessairement en définir les étapes a priori. Dans le matériel de formation, les participants sont invités à écrire leurs expériences en fonction des différentes phases du parcours migratoire. Laissez-les utiliser des </w:t>
      </w:r>
      <w:r>
        <w:rPr>
          <w:rStyle w:val="Nessuno"/>
          <w:color w:val="222222"/>
          <w:u w:color="222222"/>
          <w:lang w:val="it-IT"/>
        </w:rPr>
        <w:t xml:space="preserve">tableaux à feuilles mobiles ou des tableaux d'affichage pour noter tout ce qu'ils pourraient trouver intéressant. </w:t>
      </w:r>
      <w:proofErr w:type="gramStart"/>
      <w:r>
        <w:rPr>
          <w:rStyle w:val="Nessuno"/>
          <w:color w:val="222222"/>
          <w:u w:color="222222"/>
          <w:lang w:val="it-IT"/>
        </w:rPr>
        <w:t>Il est</w:t>
      </w:r>
      <w:proofErr w:type="gramEnd"/>
      <w:r>
        <w:rPr>
          <w:rStyle w:val="Nessuno"/>
          <w:color w:val="222222"/>
          <w:u w:color="222222"/>
          <w:lang w:val="it-IT"/>
        </w:rPr>
        <w:t xml:space="preserve"> suggéré de montrer la vidéo d'introduction incluse, suivie d'une explication détaillée des risques pour la santé selon les étapes décri</w:t>
      </w:r>
      <w:r>
        <w:rPr>
          <w:rStyle w:val="Nessuno"/>
          <w:color w:val="222222"/>
          <w:u w:color="222222"/>
          <w:lang w:val="it-IT"/>
        </w:rPr>
        <w:t>tes.</w:t>
      </w:r>
    </w:p>
    <w:p w:rsidR="00BE4007" w:rsidRDefault="00BE4007">
      <w:pPr>
        <w:spacing w:after="0"/>
        <w:rPr>
          <w:rStyle w:val="Nessuno"/>
          <w:color w:val="222222"/>
          <w:u w:color="222222"/>
          <w:lang w:val="it-IT"/>
        </w:rPr>
      </w:pPr>
    </w:p>
    <w:p w:rsidR="00BE4007" w:rsidRDefault="001D7EE7">
      <w:pPr>
        <w:spacing w:after="0"/>
        <w:rPr>
          <w:rStyle w:val="Nessuno"/>
          <w:color w:val="222222"/>
          <w:u w:color="222222"/>
          <w:lang w:val="it-IT"/>
        </w:rPr>
      </w:pPr>
      <w:r>
        <w:rPr>
          <w:rStyle w:val="Nessuno"/>
          <w:color w:val="222222"/>
          <w:u w:color="222222"/>
          <w:lang w:val="it-IT"/>
        </w:rPr>
        <w:t>Des exercices numériques sont directement liés à cette partie de la formation et les étudiants sont encouragés à créer leur propre guide de poche sur les questions de santé, en fonction de leurs besoins et intérêts. Grâce à la plateforme de formation</w:t>
      </w:r>
      <w:r>
        <w:rPr>
          <w:rStyle w:val="Nessuno"/>
          <w:color w:val="222222"/>
          <w:u w:color="222222"/>
          <w:lang w:val="it-IT"/>
        </w:rPr>
        <w:t>, vous pourrez vérifier les tâches effectuées et rester en contact avec les participants.</w:t>
      </w:r>
    </w:p>
    <w:p w:rsidR="00BE4007" w:rsidRDefault="00BE4007">
      <w:pPr>
        <w:spacing w:after="0"/>
        <w:rPr>
          <w:rStyle w:val="Nessuno"/>
          <w:color w:val="222222"/>
          <w:sz w:val="24"/>
          <w:szCs w:val="24"/>
          <w:u w:color="222222"/>
          <w:lang w:val="it-IT"/>
        </w:rPr>
      </w:pPr>
    </w:p>
    <w:p w:rsidR="00BE4007" w:rsidRDefault="001D7EE7">
      <w:pPr>
        <w:pStyle w:val="Titolo2"/>
        <w:rPr>
          <w:rStyle w:val="Nessuno"/>
          <w:lang w:val="it-IT"/>
        </w:rPr>
      </w:pPr>
      <w:r>
        <w:rPr>
          <w:rStyle w:val="Nessuno"/>
          <w:lang w:val="it-IT"/>
        </w:rPr>
        <w:t xml:space="preserve">2.3 </w:t>
      </w:r>
      <w:r>
        <w:rPr>
          <w:rStyle w:val="Nessuno"/>
          <w:lang w:val="it-IT"/>
        </w:rPr>
        <w:t>Explorer la santé physique et mentale des migrants</w:t>
      </w:r>
    </w:p>
    <w:p w:rsidR="00BE4007" w:rsidRDefault="00BE4007">
      <w:pPr>
        <w:rPr>
          <w:rStyle w:val="Nessuno"/>
          <w:color w:val="222222"/>
          <w:u w:color="222222"/>
        </w:rPr>
      </w:pPr>
    </w:p>
    <w:p w:rsidR="00BE4007" w:rsidRDefault="001D7EE7">
      <w:pPr>
        <w:spacing w:after="0"/>
        <w:rPr>
          <w:rStyle w:val="Nessuno"/>
          <w:color w:val="222222"/>
          <w:u w:color="222222"/>
          <w:lang w:val="it-IT"/>
        </w:rPr>
      </w:pPr>
      <w:r>
        <w:rPr>
          <w:rStyle w:val="Nessuno"/>
          <w:color w:val="222222"/>
          <w:u w:color="222222"/>
          <w:lang w:val="it-IT"/>
        </w:rPr>
        <w:t>Les migrants peuvent rencontrer des problèmes de santé physique et mentale spécifiques. Au cours de la forma</w:t>
      </w:r>
      <w:r>
        <w:rPr>
          <w:rStyle w:val="Nessuno"/>
          <w:color w:val="222222"/>
          <w:u w:color="222222"/>
          <w:lang w:val="it-IT"/>
        </w:rPr>
        <w:t xml:space="preserve">tion, les participants seront initiés aux symptômes des problèmes de santé et de santé mentale les plus courants dans les communautés de migrants. Vous animerez ensuite une discussion </w:t>
      </w:r>
      <w:r>
        <w:rPr>
          <w:rStyle w:val="Nessuno"/>
          <w:color w:val="222222"/>
          <w:u w:color="222222"/>
          <w:lang w:val="it-IT"/>
        </w:rPr>
        <w:lastRenderedPageBreak/>
        <w:t>de groupe, en explorant les récits des participants sur la maladie, dans</w:t>
      </w:r>
      <w:r>
        <w:rPr>
          <w:rStyle w:val="Nessuno"/>
          <w:color w:val="222222"/>
          <w:u w:color="222222"/>
          <w:lang w:val="it-IT"/>
        </w:rPr>
        <w:t xml:space="preserve"> le but de surmonter les barrières culturelles qui peuvent affecter la littératie en santé.</w:t>
      </w:r>
    </w:p>
    <w:p w:rsidR="00BE4007" w:rsidRDefault="001D7EE7">
      <w:pPr>
        <w:spacing w:after="0"/>
        <w:rPr>
          <w:rStyle w:val="Nessuno"/>
          <w:color w:val="222222"/>
          <w:u w:color="222222"/>
          <w:lang w:val="it-IT"/>
        </w:rPr>
      </w:pPr>
      <w:r>
        <w:rPr>
          <w:rStyle w:val="Nessuno"/>
          <w:color w:val="222222"/>
          <w:u w:color="222222"/>
          <w:lang w:val="it-IT"/>
        </w:rPr>
        <w:t>La perception de la maladie et la manière dont elle est considéré peuvent être très différentes selon le contexte culturel. Les symptômes des maladies sont interpré</w:t>
      </w:r>
      <w:r>
        <w:rPr>
          <w:rStyle w:val="Nessuno"/>
          <w:color w:val="222222"/>
          <w:u w:color="222222"/>
          <w:lang w:val="it-IT"/>
        </w:rPr>
        <w:t xml:space="preserve">tés différemment, et la perception du moment où une aide médicale est nécessaire peut également varier en fonction de ces interprétations. L'évaluation du moment où les "remèdes maison" sont suffisants et du moment où </w:t>
      </w:r>
      <w:proofErr w:type="gramStart"/>
      <w:r>
        <w:rPr>
          <w:rStyle w:val="Nessuno"/>
          <w:color w:val="222222"/>
          <w:u w:color="222222"/>
          <w:lang w:val="it-IT"/>
        </w:rPr>
        <w:t>il est</w:t>
      </w:r>
      <w:proofErr w:type="gramEnd"/>
      <w:r>
        <w:rPr>
          <w:rStyle w:val="Nessuno"/>
          <w:color w:val="222222"/>
          <w:u w:color="222222"/>
          <w:lang w:val="it-IT"/>
        </w:rPr>
        <w:t xml:space="preserve"> nécessaire de consulter un méde</w:t>
      </w:r>
      <w:r>
        <w:rPr>
          <w:rStyle w:val="Nessuno"/>
          <w:color w:val="222222"/>
          <w:u w:color="222222"/>
          <w:lang w:val="it-IT"/>
        </w:rPr>
        <w:t>cin peut être différente selon les facteurs culturels.</w:t>
      </w:r>
    </w:p>
    <w:p w:rsidR="00BE4007" w:rsidRDefault="001D7EE7">
      <w:pPr>
        <w:spacing w:after="0"/>
        <w:rPr>
          <w:rStyle w:val="Nessuno"/>
          <w:color w:val="222222"/>
          <w:u w:color="222222"/>
          <w:lang w:val="it-IT"/>
        </w:rPr>
      </w:pPr>
      <w:r>
        <w:rPr>
          <w:rStyle w:val="Nessuno"/>
          <w:color w:val="222222"/>
          <w:u w:color="222222"/>
          <w:lang w:val="it-IT"/>
        </w:rPr>
        <w:t xml:space="preserve">La communication de la maladie varie: </w:t>
      </w:r>
      <w:proofErr w:type="gramStart"/>
      <w:r>
        <w:rPr>
          <w:rStyle w:val="Nessuno"/>
          <w:color w:val="222222"/>
          <w:u w:color="222222"/>
          <w:lang w:val="it-IT"/>
        </w:rPr>
        <w:t>il y</w:t>
      </w:r>
      <w:proofErr w:type="gramEnd"/>
      <w:r>
        <w:rPr>
          <w:rStyle w:val="Nessuno"/>
          <w:color w:val="222222"/>
          <w:u w:color="222222"/>
          <w:lang w:val="it-IT"/>
        </w:rPr>
        <w:t xml:space="preserve"> a des maladies qui sont partagées avec des amis et d'autres qui sont traitées comme tabou. Le processus de rétablissement est également soumis à différentes c</w:t>
      </w:r>
      <w:r>
        <w:rPr>
          <w:rStyle w:val="Nessuno"/>
          <w:color w:val="222222"/>
          <w:u w:color="222222"/>
          <w:lang w:val="it-IT"/>
        </w:rPr>
        <w:t xml:space="preserve">aractéristiques: par exemple, une personne malade se retire-t-elle de </w:t>
      </w:r>
      <w:proofErr w:type="gramStart"/>
      <w:r>
        <w:rPr>
          <w:rStyle w:val="Nessuno"/>
          <w:color w:val="222222"/>
          <w:u w:color="222222"/>
          <w:lang w:val="it-IT"/>
        </w:rPr>
        <w:t>la vie</w:t>
      </w:r>
      <w:proofErr w:type="gramEnd"/>
      <w:r>
        <w:rPr>
          <w:rStyle w:val="Nessuno"/>
          <w:color w:val="222222"/>
          <w:u w:color="222222"/>
          <w:lang w:val="it-IT"/>
        </w:rPr>
        <w:t xml:space="preserve"> familiale ou la famille joue-t-elle un rôle dans le processus thérapeutique? Quel rôle jouent les informations recherchées dans le monde numérique et comment sont-elles utilisées?</w:t>
      </w:r>
      <w:r>
        <w:rPr>
          <w:rStyle w:val="Nessuno"/>
          <w:color w:val="222222"/>
          <w:u w:color="222222"/>
          <w:lang w:val="it-IT"/>
        </w:rPr>
        <w:t xml:space="preserve"> Pour votre préparation, nous vous suggérons de rechercher une comparaison avec des collègues ou des personnes qui travaillent déjà dans le domaine de l'accompagnement des immigrés.</w:t>
      </w:r>
    </w:p>
    <w:p w:rsidR="00BE4007" w:rsidRDefault="00BE4007">
      <w:pPr>
        <w:spacing w:after="0"/>
        <w:rPr>
          <w:rStyle w:val="Nessuno"/>
          <w:color w:val="222222"/>
          <w:u w:color="222222"/>
          <w:lang w:val="it-IT"/>
        </w:rPr>
      </w:pPr>
    </w:p>
    <w:p w:rsidR="00BE4007" w:rsidRDefault="001D7EE7">
      <w:pPr>
        <w:spacing w:after="0"/>
        <w:rPr>
          <w:rStyle w:val="Nessuno"/>
          <w:color w:val="222222"/>
          <w:u w:color="222222"/>
          <w:lang w:val="it-IT"/>
        </w:rPr>
      </w:pPr>
      <w:r>
        <w:rPr>
          <w:rStyle w:val="Nessuno"/>
          <w:color w:val="222222"/>
          <w:u w:color="222222"/>
          <w:lang w:val="it-IT"/>
        </w:rPr>
        <w:t>Selon l'Organisation Mondiale de la Santé, certaines maladies infectieuse</w:t>
      </w:r>
      <w:r>
        <w:rPr>
          <w:rStyle w:val="Nessuno"/>
          <w:color w:val="222222"/>
          <w:u w:color="222222"/>
          <w:lang w:val="it-IT"/>
        </w:rPr>
        <w:t>s telles que la tuberculose, l'infection par le VIH, l'hépatite virale, les maladies respiratoires peuvent être plus courantes dans les communautés de migrants. Les maladies suivantes sont plutôt observées de manière disproportionnée: les maladies cardiova</w:t>
      </w:r>
      <w:r>
        <w:rPr>
          <w:rStyle w:val="Nessuno"/>
          <w:color w:val="222222"/>
          <w:u w:color="222222"/>
          <w:lang w:val="it-IT"/>
        </w:rPr>
        <w:t xml:space="preserve">sculaires, le diabète, le cancer et les maladies pulmonaires chroniques; nombre d'entre eux nécessitent des soins continus pendant une longue période, souvent pendant toute </w:t>
      </w:r>
      <w:proofErr w:type="gramStart"/>
      <w:r>
        <w:rPr>
          <w:rStyle w:val="Nessuno"/>
          <w:color w:val="222222"/>
          <w:u w:color="222222"/>
          <w:lang w:val="it-IT"/>
        </w:rPr>
        <w:t>la vie</w:t>
      </w:r>
      <w:proofErr w:type="gramEnd"/>
      <w:r>
        <w:rPr>
          <w:rStyle w:val="Nessuno"/>
          <w:color w:val="222222"/>
          <w:u w:color="222222"/>
          <w:lang w:val="it-IT"/>
        </w:rPr>
        <w:t xml:space="preserve">. Vos élèves connaissent probablement les maladies qui surviennent </w:t>
      </w:r>
      <w:proofErr w:type="gramStart"/>
      <w:r>
        <w:rPr>
          <w:rStyle w:val="Nessuno"/>
          <w:color w:val="222222"/>
          <w:u w:color="222222"/>
          <w:lang w:val="it-IT"/>
        </w:rPr>
        <w:t>le plus</w:t>
      </w:r>
      <w:proofErr w:type="gramEnd"/>
      <w:r>
        <w:rPr>
          <w:rStyle w:val="Nessuno"/>
          <w:color w:val="222222"/>
          <w:u w:color="222222"/>
          <w:lang w:val="it-IT"/>
        </w:rPr>
        <w:t xml:space="preserve"> fr</w:t>
      </w:r>
      <w:r>
        <w:rPr>
          <w:rStyle w:val="Nessuno"/>
          <w:color w:val="222222"/>
          <w:u w:color="222222"/>
          <w:lang w:val="it-IT"/>
        </w:rPr>
        <w:t xml:space="preserve">équemment, mais il n'est pas toujours clair comment les traiter pour maximiser les chances de guérison. De plus, </w:t>
      </w:r>
      <w:proofErr w:type="gramStart"/>
      <w:r>
        <w:rPr>
          <w:rStyle w:val="Nessuno"/>
          <w:color w:val="222222"/>
          <w:u w:color="222222"/>
          <w:lang w:val="it-IT"/>
        </w:rPr>
        <w:t>il est</w:t>
      </w:r>
      <w:proofErr w:type="gramEnd"/>
      <w:r>
        <w:rPr>
          <w:rStyle w:val="Nessuno"/>
          <w:color w:val="222222"/>
          <w:u w:color="222222"/>
          <w:lang w:val="it-IT"/>
        </w:rPr>
        <w:t xml:space="preserve"> souvent difficile de savoir quand des soins médicaux et des médicaments sont absolument nécessaires pour soulager les symptômes et évite</w:t>
      </w:r>
      <w:r>
        <w:rPr>
          <w:rStyle w:val="Nessuno"/>
          <w:color w:val="222222"/>
          <w:u w:color="222222"/>
          <w:lang w:val="it-IT"/>
        </w:rPr>
        <w:t>r les risques pour la santé. La sensibilisation à cet aspect est également un objectif de votre formation.</w:t>
      </w:r>
    </w:p>
    <w:p w:rsidR="00BE4007" w:rsidRDefault="00BE4007">
      <w:pPr>
        <w:spacing w:after="0"/>
        <w:rPr>
          <w:rStyle w:val="Nessuno"/>
          <w:color w:val="222222"/>
          <w:u w:color="222222"/>
          <w:lang w:val="it-IT"/>
        </w:rPr>
      </w:pPr>
    </w:p>
    <w:p w:rsidR="00BE4007" w:rsidRDefault="001D7EE7">
      <w:pPr>
        <w:spacing w:after="0"/>
        <w:rPr>
          <w:rStyle w:val="Nessuno"/>
          <w:color w:val="222222"/>
          <w:u w:color="222222"/>
          <w:lang w:val="it-IT"/>
        </w:rPr>
      </w:pPr>
      <w:r>
        <w:rPr>
          <w:rStyle w:val="Nessuno"/>
          <w:color w:val="222222"/>
          <w:u w:color="222222"/>
          <w:lang w:val="it-IT"/>
        </w:rPr>
        <w:t>Proposer des actions spécifiques pour la santé est toujours la tâche d'un médecin, mais il faut souligner comment les soins médicaux peuvent être pr</w:t>
      </w:r>
      <w:r>
        <w:rPr>
          <w:rStyle w:val="Nessuno"/>
          <w:color w:val="222222"/>
          <w:u w:color="222222"/>
          <w:lang w:val="it-IT"/>
        </w:rPr>
        <w:t>odigués dans différents contextes: dans une pharmacie, dans un cabinet médical, par un médecin qui rend visite à un malade à domicile, en une salle d'urgence, un premier secour et enfin aussi dans l'environnement numérique. Les étudiants doivent savoir que</w:t>
      </w:r>
      <w:r>
        <w:rPr>
          <w:rStyle w:val="Nessuno"/>
          <w:color w:val="222222"/>
          <w:u w:color="222222"/>
          <w:lang w:val="it-IT"/>
        </w:rPr>
        <w:t xml:space="preserve"> de plus en plus de médecins proposent également des consultations numériques, ce qu’on appelle </w:t>
      </w:r>
      <w:r>
        <w:rPr>
          <w:rStyle w:val="Nessuno"/>
          <w:i/>
          <w:iCs/>
          <w:color w:val="222222"/>
          <w:u w:color="222222"/>
          <w:lang w:val="it-IT"/>
        </w:rPr>
        <w:t>télémédecine</w:t>
      </w:r>
      <w:r>
        <w:rPr>
          <w:rStyle w:val="Nessuno"/>
          <w:color w:val="222222"/>
          <w:u w:color="222222"/>
          <w:lang w:val="it-IT"/>
        </w:rPr>
        <w:t xml:space="preserve">, notamment en cas de pandémie. Cependant, </w:t>
      </w:r>
      <w:proofErr w:type="gramStart"/>
      <w:r>
        <w:rPr>
          <w:rStyle w:val="Nessuno"/>
          <w:color w:val="222222"/>
          <w:u w:color="222222"/>
          <w:lang w:val="it-IT"/>
        </w:rPr>
        <w:t>il y</w:t>
      </w:r>
      <w:proofErr w:type="gramEnd"/>
      <w:r>
        <w:rPr>
          <w:rStyle w:val="Nessuno"/>
          <w:color w:val="222222"/>
          <w:u w:color="222222"/>
          <w:lang w:val="it-IT"/>
        </w:rPr>
        <w:t xml:space="preserve"> a des conditions préalables à cela et </w:t>
      </w:r>
      <w:r>
        <w:rPr>
          <w:rStyle w:val="Nessuno"/>
          <w:color w:val="222222"/>
          <w:u w:color="222222"/>
          <w:lang w:val="it-IT"/>
        </w:rPr>
        <w:lastRenderedPageBreak/>
        <w:t>en règle générale, le médecin doit avoir pu enregistrer au pré</w:t>
      </w:r>
      <w:r>
        <w:rPr>
          <w:rStyle w:val="Nessuno"/>
          <w:color w:val="222222"/>
          <w:u w:color="222222"/>
          <w:lang w:val="it-IT"/>
        </w:rPr>
        <w:t xml:space="preserve">alable l'état de santé du patient. Pour vos étudiants, la consultation de </w:t>
      </w:r>
      <w:r>
        <w:rPr>
          <w:rStyle w:val="Nessuno"/>
          <w:i/>
          <w:iCs/>
          <w:color w:val="222222"/>
          <w:u w:color="222222"/>
          <w:lang w:val="it-IT"/>
        </w:rPr>
        <w:t>télémédecine</w:t>
      </w:r>
      <w:r>
        <w:rPr>
          <w:rStyle w:val="Nessuno"/>
          <w:color w:val="222222"/>
          <w:u w:color="222222"/>
          <w:lang w:val="it-IT"/>
        </w:rPr>
        <w:t xml:space="preserve"> pourrait présenter certains avantages, car elle peut être reçue via un téléphone mobile et le migrant ne doit </w:t>
      </w:r>
      <w:proofErr w:type="gramStart"/>
      <w:r>
        <w:rPr>
          <w:rStyle w:val="Nessuno"/>
          <w:color w:val="222222"/>
          <w:u w:color="222222"/>
          <w:lang w:val="it-IT"/>
        </w:rPr>
        <w:t>pas  se</w:t>
      </w:r>
      <w:proofErr w:type="gramEnd"/>
      <w:r>
        <w:rPr>
          <w:rStyle w:val="Nessuno"/>
          <w:color w:val="222222"/>
          <w:u w:color="222222"/>
          <w:lang w:val="it-IT"/>
        </w:rPr>
        <w:t xml:space="preserve"> rendre dans un cabinet médical. De même, il convien</w:t>
      </w:r>
      <w:r>
        <w:rPr>
          <w:rStyle w:val="Nessuno"/>
          <w:color w:val="222222"/>
          <w:u w:color="222222"/>
          <w:lang w:val="it-IT"/>
        </w:rPr>
        <w:t>t de souligner que des éléments problématiques pourraient également survenir, tels que de plus grandes difficultés de compréhension mutuelle.</w:t>
      </w:r>
    </w:p>
    <w:p w:rsidR="00BE4007" w:rsidRDefault="00BE4007">
      <w:pPr>
        <w:spacing w:after="0"/>
        <w:rPr>
          <w:rStyle w:val="Nessuno"/>
          <w:color w:val="222222"/>
          <w:u w:color="222222"/>
          <w:lang w:val="it-IT"/>
        </w:rPr>
      </w:pPr>
    </w:p>
    <w:p w:rsidR="00BE4007" w:rsidRDefault="001D7EE7">
      <w:pPr>
        <w:spacing w:after="0"/>
        <w:rPr>
          <w:rStyle w:val="Nessuno"/>
          <w:color w:val="222222"/>
          <w:u w:color="222222"/>
          <w:lang w:val="it-IT"/>
        </w:rPr>
      </w:pPr>
      <w:r>
        <w:rPr>
          <w:rStyle w:val="Nessuno"/>
          <w:color w:val="222222"/>
          <w:u w:color="222222"/>
          <w:lang w:val="it-IT"/>
        </w:rPr>
        <w:t>Parler de santé mentale peut être une question très sensible et pour certains groupes (par exemple les demandeurs</w:t>
      </w:r>
      <w:r>
        <w:rPr>
          <w:rStyle w:val="Nessuno"/>
          <w:color w:val="222222"/>
          <w:u w:color="222222"/>
          <w:lang w:val="it-IT"/>
        </w:rPr>
        <w:t xml:space="preserve"> d'asile et les réfugiés), l'accès aux conseils (en face à face ou en ligne), aux traitements et aux thérapies n'est pas toujours possible à court terme. Les réfugiés souffrant de stress post-traumatique constituent un groupe vulnérable pour lequel peu de </w:t>
      </w:r>
      <w:r>
        <w:rPr>
          <w:rStyle w:val="Nessuno"/>
          <w:color w:val="222222"/>
          <w:u w:color="222222"/>
          <w:lang w:val="it-IT"/>
        </w:rPr>
        <w:t xml:space="preserve">mesures préventives et thérapeutiques sont disponibles. Les approches intégratives et sensibles à </w:t>
      </w:r>
      <w:proofErr w:type="gramStart"/>
      <w:r>
        <w:rPr>
          <w:rStyle w:val="Nessuno"/>
          <w:color w:val="222222"/>
          <w:u w:color="222222"/>
          <w:lang w:val="it-IT"/>
        </w:rPr>
        <w:t>la culture</w:t>
      </w:r>
      <w:proofErr w:type="gramEnd"/>
      <w:r>
        <w:rPr>
          <w:rStyle w:val="Nessuno"/>
          <w:color w:val="222222"/>
          <w:u w:color="222222"/>
          <w:lang w:val="it-IT"/>
        </w:rPr>
        <w:t xml:space="preserve"> du traitement des réfugiés sont confrontées à des défis complexes, tels que les barrières culturelles et linguistiques, qui nécessitent une spécial</w:t>
      </w:r>
      <w:r>
        <w:rPr>
          <w:rStyle w:val="Nessuno"/>
          <w:color w:val="222222"/>
          <w:u w:color="222222"/>
          <w:lang w:val="it-IT"/>
        </w:rPr>
        <w:t>isation de la part des experts médicaux. Cependant, en attendant, on sait que certains éléments de détresse psychologique peuvent être détectés chez les migrants, précisément en raison de l'exposition à la violence ou à des facteurs traumatisants vécus pen</w:t>
      </w:r>
      <w:r>
        <w:rPr>
          <w:rStyle w:val="Nessuno"/>
          <w:color w:val="222222"/>
          <w:u w:color="222222"/>
          <w:lang w:val="it-IT"/>
        </w:rPr>
        <w:t>dant la phase migratoire: lorsque cela est possible, cette question peut être abordée dans votre formation, en demandant éventuellement accompagnement par des personnalités expertes dans des dossiers d'ethnoclinique ou d'anthropologie médicale. Le matériel</w:t>
      </w:r>
      <w:r>
        <w:rPr>
          <w:rStyle w:val="Nessuno"/>
          <w:color w:val="222222"/>
          <w:u w:color="222222"/>
          <w:lang w:val="it-IT"/>
        </w:rPr>
        <w:t xml:space="preserve"> de formation comprend plusieurs exercices et recommandations pour les phases de mise en œuvre.</w:t>
      </w:r>
    </w:p>
    <w:p w:rsidR="00BE4007" w:rsidRDefault="00BE4007">
      <w:pPr>
        <w:spacing w:after="0"/>
        <w:rPr>
          <w:rStyle w:val="Nessuno"/>
          <w:color w:val="222222"/>
          <w:u w:color="222222"/>
          <w:lang w:val="it-IT"/>
        </w:rPr>
      </w:pPr>
    </w:p>
    <w:p w:rsidR="00BE4007" w:rsidRDefault="001D7EE7">
      <w:pPr>
        <w:spacing w:after="0"/>
        <w:rPr>
          <w:lang w:val="it-IT"/>
        </w:rPr>
      </w:pPr>
      <w:r>
        <w:rPr>
          <w:rStyle w:val="Nessuno"/>
          <w:color w:val="222222"/>
          <w:u w:color="222222"/>
          <w:lang w:val="it-IT"/>
        </w:rPr>
        <w:t>Dans tous les cas, bien qu'une invitation à une plus grande prise de conscience et à une responsabilité personnelle vis-à-vis de son état de santé puisse émerg</w:t>
      </w:r>
      <w:r>
        <w:rPr>
          <w:rStyle w:val="Nessuno"/>
          <w:color w:val="222222"/>
          <w:u w:color="222222"/>
          <w:lang w:val="it-IT"/>
        </w:rPr>
        <w:t>er de la réflexion, il faut souligner que les étudiants doivent toujours consulter leur médecin pour un diagnostic et un traitement.</w:t>
      </w:r>
    </w:p>
    <w:p w:rsidR="00BE4007" w:rsidRDefault="00BE4007">
      <w:pPr>
        <w:spacing w:before="120" w:after="120" w:line="240" w:lineRule="auto"/>
        <w:rPr>
          <w:rStyle w:val="Nessuno"/>
          <w:rFonts w:ascii="Times New Roman" w:eastAsia="Times New Roman" w:hAnsi="Times New Roman" w:cs="Times New Roman"/>
          <w:sz w:val="24"/>
          <w:szCs w:val="24"/>
          <w:lang w:val="it-IT"/>
        </w:rPr>
      </w:pPr>
    </w:p>
    <w:p w:rsidR="00BE4007" w:rsidRDefault="001D7EE7">
      <w:pPr>
        <w:pStyle w:val="Titolo2"/>
        <w:tabs>
          <w:tab w:val="center" w:pos="4536"/>
        </w:tabs>
        <w:rPr>
          <w:rStyle w:val="Nessuno"/>
          <w:lang w:val="it-IT"/>
        </w:rPr>
      </w:pPr>
      <w:r>
        <w:rPr>
          <w:rStyle w:val="Nessuno"/>
          <w:lang w:val="it-IT"/>
        </w:rPr>
        <w:t>2.4. Stratégie di prévention</w:t>
      </w:r>
      <w:r>
        <w:rPr>
          <w:rStyle w:val="Nessuno"/>
          <w:lang w:val="it-IT"/>
        </w:rPr>
        <w:tab/>
      </w:r>
    </w:p>
    <w:p w:rsidR="00BE4007" w:rsidRDefault="00BE4007">
      <w:pPr>
        <w:spacing w:after="0"/>
        <w:rPr>
          <w:rStyle w:val="Nessuno"/>
          <w:sz w:val="24"/>
          <w:szCs w:val="24"/>
          <w:lang w:val="it-IT"/>
        </w:rPr>
      </w:pPr>
    </w:p>
    <w:p w:rsidR="00BE4007" w:rsidRDefault="001D7EE7">
      <w:pPr>
        <w:spacing w:after="0"/>
        <w:rPr>
          <w:lang w:val="it-IT"/>
        </w:rPr>
      </w:pPr>
      <w:r>
        <w:rPr>
          <w:lang w:val="it-IT"/>
        </w:rPr>
        <w:t>Cette partie de la formation se concentre sur l'apprentissage de la prévention des maladies</w:t>
      </w:r>
      <w:r>
        <w:rPr>
          <w:lang w:val="it-IT"/>
        </w:rPr>
        <w:t>, l'exploration de stratégies de prévention courantes et la compréhension de l'importance d'adopter telles stratégies. Votre rôle en tant que formateur est de communiquer les informations les uns des autres sur des sujets importants tels que les vaccinatio</w:t>
      </w:r>
      <w:r>
        <w:rPr>
          <w:lang w:val="it-IT"/>
        </w:rPr>
        <w:t xml:space="preserve">ns, les maladies évitables par la vaccination, la nutrition (y compris le traitement et la prévention de la malnutrition), l'impact négatif de l'alcool et du tabagisme, l'importance de l'activité physique à différents stades de </w:t>
      </w:r>
      <w:proofErr w:type="gramStart"/>
      <w:r>
        <w:rPr>
          <w:lang w:val="it-IT"/>
        </w:rPr>
        <w:t>la vie</w:t>
      </w:r>
      <w:proofErr w:type="gramEnd"/>
      <w:r>
        <w:rPr>
          <w:lang w:val="it-IT"/>
        </w:rPr>
        <w:t xml:space="preserve"> et les dépistages </w:t>
      </w:r>
      <w:r>
        <w:rPr>
          <w:lang w:val="it-IT"/>
        </w:rPr>
        <w:lastRenderedPageBreak/>
        <w:t>rec</w:t>
      </w:r>
      <w:r>
        <w:rPr>
          <w:lang w:val="it-IT"/>
        </w:rPr>
        <w:t>ommandés pour les maladies chroniques et autres. Le respect des règles d'hygiène est une stratégie de prévention primaire importante et facile à suivre qui sera discutée.</w:t>
      </w:r>
    </w:p>
    <w:p w:rsidR="00BE4007" w:rsidRDefault="001D7EE7">
      <w:pPr>
        <w:spacing w:after="0"/>
        <w:rPr>
          <w:lang w:val="it-IT"/>
        </w:rPr>
      </w:pPr>
      <w:r>
        <w:rPr>
          <w:rStyle w:val="Nessuno"/>
          <w:lang w:val="it-IT"/>
        </w:rPr>
        <w:t>E</w:t>
      </w:r>
      <w:r>
        <w:rPr>
          <w:lang w:val="it-IT"/>
        </w:rPr>
        <w:t>ncouragez à commencer une discussion de groupe sur l'auto-perception des bonnes habi</w:t>
      </w:r>
      <w:r>
        <w:rPr>
          <w:lang w:val="it-IT"/>
        </w:rPr>
        <w:t>tudes alimentaires, pour approfondir ces habitudes et comprendre si les moyens numériques sont utilisés pour obtenir des informations, des conseils santé, des recettes et des conseils diététiques.</w:t>
      </w:r>
    </w:p>
    <w:p w:rsidR="00BE4007" w:rsidRDefault="00BE4007">
      <w:pPr>
        <w:spacing w:after="0"/>
        <w:rPr>
          <w:rStyle w:val="Nessuno"/>
          <w:lang w:val="it-IT"/>
        </w:rPr>
      </w:pPr>
    </w:p>
    <w:p w:rsidR="00BE4007" w:rsidRDefault="001D7EE7">
      <w:pPr>
        <w:spacing w:after="0"/>
        <w:rPr>
          <w:lang w:val="it-IT"/>
        </w:rPr>
      </w:pPr>
      <w:proofErr w:type="gramStart"/>
      <w:r>
        <w:rPr>
          <w:lang w:val="it-IT"/>
        </w:rPr>
        <w:t>Il est</w:t>
      </w:r>
      <w:proofErr w:type="gramEnd"/>
      <w:r>
        <w:rPr>
          <w:lang w:val="it-IT"/>
        </w:rPr>
        <w:t xml:space="preserve"> également conseillé de commencer une conversation s</w:t>
      </w:r>
      <w:r>
        <w:rPr>
          <w:lang w:val="it-IT"/>
        </w:rPr>
        <w:t>ur les connaissances des participants sur les vaccinations recommandées tant dans le pays d'origine que dans le pays d'accueil et sur le niveau de confiance avec lequel on aborde la recherche du programme national de vaccination pour les enfants / adolesce</w:t>
      </w:r>
      <w:r>
        <w:rPr>
          <w:lang w:val="it-IT"/>
        </w:rPr>
        <w:t>nts et pour adultes.</w:t>
      </w:r>
    </w:p>
    <w:p w:rsidR="00BE4007" w:rsidRDefault="001D7EE7">
      <w:pPr>
        <w:spacing w:after="0"/>
        <w:rPr>
          <w:rStyle w:val="Nessuno"/>
          <w:lang w:val="it-IT"/>
        </w:rPr>
      </w:pPr>
      <w:r>
        <w:rPr>
          <w:lang w:val="it-IT"/>
        </w:rPr>
        <w:t>Dans le cas où votre groupe d'étudiants est composé majoritairement de femmes, pensez à vous concentrer sur des sujets particuliers tels que la prévention de la santé des femmes, la grossesse, les soins aux enfants et aux nourrissons q</w:t>
      </w:r>
      <w:r>
        <w:rPr>
          <w:lang w:val="it-IT"/>
        </w:rPr>
        <w:t>ui se trouvent dans les annexes du module.</w:t>
      </w:r>
    </w:p>
    <w:p w:rsidR="00BE4007" w:rsidRDefault="001D7EE7">
      <w:pPr>
        <w:spacing w:after="0"/>
        <w:rPr>
          <w:lang w:val="it-IT"/>
        </w:rPr>
      </w:pPr>
      <w:r>
        <w:rPr>
          <w:lang w:val="it-IT"/>
        </w:rPr>
        <w:t xml:space="preserve">Dans le cas où votre groupe d'étudiants a un intérêt particulier pour la santé mentale, la formation comprend du matériel sur l'identification des problèmes de santé mentale et le renforcement de la résilience en </w:t>
      </w:r>
      <w:r>
        <w:rPr>
          <w:lang w:val="it-IT"/>
        </w:rPr>
        <w:t>santé mentale, qui se trouve également dans les annexes.</w:t>
      </w:r>
    </w:p>
    <w:p w:rsidR="00BE4007" w:rsidRDefault="00BE4007">
      <w:pPr>
        <w:spacing w:after="0"/>
        <w:rPr>
          <w:lang w:val="it-IT"/>
        </w:rPr>
      </w:pPr>
    </w:p>
    <w:p w:rsidR="00BE4007" w:rsidRDefault="00BE4007">
      <w:pPr>
        <w:spacing w:before="120" w:after="120" w:line="240" w:lineRule="auto"/>
        <w:rPr>
          <w:rStyle w:val="Nessuno"/>
          <w:rFonts w:ascii="Times New Roman" w:eastAsia="Times New Roman" w:hAnsi="Times New Roman" w:cs="Times New Roman"/>
          <w:sz w:val="24"/>
          <w:szCs w:val="24"/>
          <w:lang w:val="it-IT"/>
        </w:rPr>
      </w:pPr>
    </w:p>
    <w:p w:rsidR="00BE4007" w:rsidRDefault="001D7EE7">
      <w:pPr>
        <w:pStyle w:val="Titolo2"/>
        <w:rPr>
          <w:rStyle w:val="Nessuno"/>
          <w:lang w:val="it-IT"/>
        </w:rPr>
      </w:pPr>
      <w:r>
        <w:rPr>
          <w:rStyle w:val="Nessuno"/>
          <w:lang w:val="it-IT"/>
        </w:rPr>
        <w:t>2.5 Bibliographie</w:t>
      </w:r>
    </w:p>
    <w:p w:rsidR="00BE4007" w:rsidRDefault="00BE4007">
      <w:pPr>
        <w:rPr>
          <w:rStyle w:val="Nessuno"/>
          <w:lang w:val="it-IT"/>
        </w:rPr>
      </w:pPr>
    </w:p>
    <w:p w:rsidR="00BE4007" w:rsidRDefault="001D7EE7">
      <w:pPr>
        <w:rPr>
          <w:lang w:val="it-IT"/>
        </w:rPr>
      </w:pPr>
      <w:r>
        <w:rPr>
          <w:lang w:val="it-IT"/>
        </w:rPr>
        <w:t>Pour une lecture plus approfondie, la littérature suivante est recommandée:</w:t>
      </w:r>
    </w:p>
    <w:p w:rsidR="00BE4007" w:rsidRDefault="001D7EE7">
      <w:r>
        <w:rPr>
          <w:rStyle w:val="Nessuno"/>
        </w:rPr>
        <w:t xml:space="preserve">Bryce, E., Mullany, L.C., Khatry, S.K. et al. 2020. Coverage of the WHO’s four essential elements of </w:t>
      </w:r>
      <w:r>
        <w:rPr>
          <w:rStyle w:val="Nessuno"/>
        </w:rPr>
        <w:t>newborn care and their association with neonatal survival in southern Nepal. BMC Pregnancy Childbirth 20, 540 https://doi.org/10.1186/s12884-020-03239-6</w:t>
      </w:r>
    </w:p>
    <w:p w:rsidR="00BE4007" w:rsidRDefault="001D7EE7">
      <w:r>
        <w:rPr>
          <w:rStyle w:val="Nessuno"/>
        </w:rPr>
        <w:t>Carr T.P et al. 2016. Advanced Nutrition and Human Metabolism. Cengage Learning.</w:t>
      </w:r>
    </w:p>
    <w:p w:rsidR="00BE4007" w:rsidRDefault="001D7EE7">
      <w:pPr>
        <w:jc w:val="left"/>
      </w:pPr>
      <w:r>
        <w:rPr>
          <w:rStyle w:val="Nessuno"/>
        </w:rPr>
        <w:t>Center for Disease Con</w:t>
      </w:r>
      <w:r>
        <w:rPr>
          <w:rStyle w:val="Nessuno"/>
        </w:rPr>
        <w:t xml:space="preserve">trol and Prevention (CDC) </w:t>
      </w:r>
      <w:bookmarkStart w:id="0" w:name="_GoBack"/>
      <w:bookmarkEnd w:id="0"/>
      <w:r>
        <w:rPr>
          <w:rStyle w:val="Nessuno"/>
        </w:rPr>
        <w:t>n.d.  https://www.cdc.gov/ncbddd/birthdefects/prevention.html </w:t>
      </w:r>
    </w:p>
    <w:p w:rsidR="00BE4007" w:rsidRDefault="001D7EE7">
      <w:pPr>
        <w:jc w:val="left"/>
      </w:pPr>
      <w:r>
        <w:rPr>
          <w:rStyle w:val="Nessuno"/>
        </w:rPr>
        <w:t xml:space="preserve">European Commission. 2020. The health benefits of vaccination. https://ec.europa.eu/commission/presscorner/detail/en/fs_20_2364. </w:t>
      </w:r>
    </w:p>
    <w:p w:rsidR="00BE4007" w:rsidRDefault="001D7EE7">
      <w:pPr>
        <w:jc w:val="left"/>
      </w:pPr>
      <w:r>
        <w:rPr>
          <w:rStyle w:val="Nessuno"/>
        </w:rPr>
        <w:lastRenderedPageBreak/>
        <w:t>European Parliament, Directorate Gene</w:t>
      </w:r>
      <w:r>
        <w:rPr>
          <w:rStyle w:val="Nessuno"/>
        </w:rPr>
        <w:t xml:space="preserve">ral for Internal Policy. 2017. Research for CULT–Committee. Why Cultural Work with Refugees. Retrieved from: </w:t>
      </w:r>
      <w:hyperlink r:id="rId19" w:history="1">
        <w:r>
          <w:rPr>
            <w:rStyle w:val="Hyperlink1"/>
          </w:rPr>
          <w:t>http://www.europarl.europa.eu/RegData/etudes/</w:t>
        </w:r>
        <w:r>
          <w:rPr>
            <w:rStyle w:val="Hyperlink1"/>
          </w:rPr>
          <w:t>IDAN/2017/602004/IPOL_IDA(2017)602004_EN.pdf</w:t>
        </w:r>
      </w:hyperlink>
    </w:p>
    <w:p w:rsidR="00BE4007" w:rsidRDefault="001D7EE7">
      <w:r>
        <w:rPr>
          <w:rStyle w:val="Nessuno"/>
        </w:rPr>
        <w:t>European Centre for Disease Prevention and Control. 2020. Guidance on infection prevention and control of coronavirus disease (COVID-19) in migrant and refugee reception and detention centres in the EU/EEA an</w:t>
      </w:r>
      <w:r>
        <w:rPr>
          <w:rStyle w:val="Nessuno"/>
        </w:rPr>
        <w:t>d the United Kingdom</w:t>
      </w:r>
    </w:p>
    <w:p w:rsidR="00BE4007" w:rsidRDefault="001D7EE7">
      <w:r>
        <w:rPr>
          <w:rStyle w:val="Nessuno"/>
        </w:rPr>
        <w:t>International Scientific Forum on Home Hygiene. 2018. Containing the burden of infectious diseases is everyone’s responsibility: A call for an integrated strategy for developing and promoting hygiene behaviour change in home and everyd</w:t>
      </w:r>
      <w:r>
        <w:rPr>
          <w:rStyle w:val="Nessuno"/>
        </w:rPr>
        <w:t xml:space="preserve">ay life [White Paper]. https://www.ifh-homehygiene.org/sites/default/files/publications/IFH%20White%20Paper-10-18.pdf. </w:t>
      </w:r>
    </w:p>
    <w:p w:rsidR="00BE4007" w:rsidRDefault="001D7EE7">
      <w:pPr>
        <w:jc w:val="left"/>
      </w:pPr>
      <w:r>
        <w:rPr>
          <w:rStyle w:val="Nessuno"/>
        </w:rPr>
        <w:t>John Hopkins Medicine. n.d. </w:t>
      </w:r>
      <w:hyperlink r:id="rId20" w:history="1">
        <w:r>
          <w:rPr>
            <w:rStyle w:val="Hyperlink1"/>
          </w:rPr>
          <w:t>https://www.hopkinsmedicine.org/health/treatment-tests-and-therapies/screening-tests-for-common-diseases</w:t>
        </w:r>
      </w:hyperlink>
      <w:r>
        <w:rPr>
          <w:rStyle w:val="Nessuno"/>
        </w:rPr>
        <w:t> </w:t>
      </w:r>
    </w:p>
    <w:p w:rsidR="00BE4007" w:rsidRDefault="001D7EE7">
      <w:pPr>
        <w:jc w:val="left"/>
      </w:pPr>
      <w:r>
        <w:rPr>
          <w:rStyle w:val="Nessuno"/>
        </w:rPr>
        <w:t>Johns Hopkins Medicine. n.d. - </w:t>
      </w:r>
      <w:hyperlink r:id="rId21" w:history="1">
        <w:r>
          <w:rPr>
            <w:rStyle w:val="Hyperlink1"/>
          </w:rPr>
          <w:t>https://www.hopkinsmedicine.org/health/wellness-and-prevention/abcs-of-eating-smart-for-a-healthy-heart</w:t>
        </w:r>
      </w:hyperlink>
    </w:p>
    <w:p w:rsidR="00BE4007" w:rsidRDefault="001D7EE7">
      <w:pPr>
        <w:rPr>
          <w:rStyle w:val="Nessuno"/>
        </w:rPr>
      </w:pPr>
      <w:r>
        <w:rPr>
          <w:rStyle w:val="Nessuno"/>
        </w:rPr>
        <w:t xml:space="preserve">John Hopkins </w:t>
      </w:r>
      <w:proofErr w:type="gramStart"/>
      <w:r>
        <w:rPr>
          <w:rStyle w:val="Nessuno"/>
        </w:rPr>
        <w:t>Medicine .</w:t>
      </w:r>
      <w:proofErr w:type="gramEnd"/>
      <w:r>
        <w:rPr>
          <w:rStyle w:val="Nessuno"/>
        </w:rPr>
        <w:t>n.d. Malnutrition. </w:t>
      </w:r>
      <w:hyperlink r:id="rId22" w:history="1">
        <w:r>
          <w:rPr>
            <w:rStyle w:val="Hyperlink2"/>
          </w:rPr>
          <w:t>https://www.hopkinsmedicine.org/health/conditions-and-diseases/malnutrition</w:t>
        </w:r>
      </w:hyperlink>
    </w:p>
    <w:p w:rsidR="00BE4007" w:rsidRDefault="001D7EE7">
      <w:pPr>
        <w:rPr>
          <w:rStyle w:val="Nessuno"/>
        </w:rPr>
      </w:pPr>
      <w:r>
        <w:rPr>
          <w:rStyle w:val="Nessuno"/>
          <w:lang w:val="de-DE"/>
        </w:rPr>
        <w:t>Matlin, S.A., Depoux, A., Schütte, S. </w:t>
      </w:r>
      <w:r>
        <w:rPr>
          <w:rStyle w:val="Nessuno"/>
          <w:i/>
          <w:iCs/>
          <w:lang w:val="de-DE"/>
        </w:rPr>
        <w:t>et al.</w:t>
      </w:r>
      <w:r>
        <w:rPr>
          <w:rStyle w:val="Nessuno"/>
          <w:lang w:val="de-DE"/>
        </w:rPr>
        <w:t xml:space="preserve"> 2018. </w:t>
      </w:r>
      <w:r>
        <w:rPr>
          <w:rStyle w:val="Nessuno"/>
        </w:rPr>
        <w:t>Migrants’ and refugees’ health: towards an agenda of solutions. </w:t>
      </w:r>
      <w:r>
        <w:rPr>
          <w:rStyle w:val="Nessuno"/>
          <w:i/>
          <w:iCs/>
        </w:rPr>
        <w:t>Public Health Rev</w:t>
      </w:r>
      <w:r>
        <w:rPr>
          <w:rStyle w:val="Nessuno"/>
        </w:rPr>
        <w:t> 39,</w:t>
      </w:r>
      <w:r>
        <w:rPr>
          <w:rStyle w:val="Nessuno"/>
          <w:b/>
          <w:bCs/>
        </w:rPr>
        <w:t> </w:t>
      </w:r>
      <w:r>
        <w:rPr>
          <w:rStyle w:val="Nessuno"/>
        </w:rPr>
        <w:t xml:space="preserve">27. https://doi.org/10.1186/s40985-018-0104-9 </w:t>
      </w:r>
    </w:p>
    <w:p w:rsidR="00BE4007" w:rsidRDefault="001D7EE7">
      <w:pPr>
        <w:rPr>
          <w:rStyle w:val="Nessuno"/>
        </w:rPr>
      </w:pPr>
      <w:r>
        <w:rPr>
          <w:rStyle w:val="Nessuno"/>
        </w:rPr>
        <w:t>National Institute on Alcohol Abuse and Alcoholism. 2007. - Alcohol and Tobacco </w:t>
      </w:r>
      <w:hyperlink r:id="rId23" w:history="1">
        <w:r>
          <w:rPr>
            <w:rStyle w:val="Hyperlink1"/>
          </w:rPr>
          <w:t>https://pubs.niaaa.nih.gov/publications/aa71/aa71.htm</w:t>
        </w:r>
      </w:hyperlink>
      <w:r>
        <w:rPr>
          <w:rStyle w:val="Nessuno"/>
        </w:rPr>
        <w:t xml:space="preserve">. </w:t>
      </w:r>
    </w:p>
    <w:p w:rsidR="00BE4007" w:rsidRDefault="001D7EE7">
      <w:pPr>
        <w:rPr>
          <w:rStyle w:val="Nessuno"/>
        </w:rPr>
      </w:pPr>
      <w:r>
        <w:rPr>
          <w:rStyle w:val="Nessuno"/>
        </w:rPr>
        <w:t xml:space="preserve">NSW Refugee Health Service and STARTTS (NSW Service for the Treatment and Rehabilitation of Torture and Trauma Survivors). 2014. </w:t>
      </w:r>
      <w:r>
        <w:rPr>
          <w:rStyle w:val="Nessuno"/>
          <w:i/>
          <w:iCs/>
        </w:rPr>
        <w:t>Working with refugees: a guide for social workers</w:t>
      </w:r>
      <w:r>
        <w:rPr>
          <w:rStyle w:val="Nessuno"/>
        </w:rPr>
        <w:t xml:space="preserve">. Retrieved from: </w:t>
      </w:r>
      <w:hyperlink r:id="rId24" w:history="1">
        <w:r>
          <w:rPr>
            <w:rStyle w:val="Hyperlink1"/>
          </w:rPr>
          <w:t>https://www.startts.org.au/media/Resource-Working-with-Refugees-Social-Worker-Guide.pdf</w:t>
        </w:r>
      </w:hyperlink>
    </w:p>
    <w:p w:rsidR="00BE4007" w:rsidRDefault="001D7EE7">
      <w:pPr>
        <w:rPr>
          <w:rStyle w:val="Nessuno"/>
        </w:rPr>
      </w:pPr>
      <w:r>
        <w:rPr>
          <w:rStyle w:val="Nessuno"/>
        </w:rPr>
        <w:t xml:space="preserve">P.J. Shannon, E. Wieling, </w:t>
      </w:r>
      <w:proofErr w:type="gramStart"/>
      <w:r>
        <w:rPr>
          <w:rStyle w:val="Nessuno"/>
        </w:rPr>
        <w:t>J.Simmelink</w:t>
      </w:r>
      <w:proofErr w:type="gramEnd"/>
      <w:r>
        <w:rPr>
          <w:rStyle w:val="Nessuno"/>
        </w:rPr>
        <w:t xml:space="preserve">-McCleary, E. Becher. 2014. </w:t>
      </w:r>
      <w:r>
        <w:rPr>
          <w:rStyle w:val="Nessuno"/>
          <w:i/>
          <w:iCs/>
        </w:rPr>
        <w:t>Beyond Stigma: Barriers to Discussing Mental Health in Refug</w:t>
      </w:r>
      <w:r>
        <w:rPr>
          <w:rStyle w:val="Nessuno"/>
          <w:i/>
          <w:iCs/>
        </w:rPr>
        <w:t>ee Populations</w:t>
      </w:r>
      <w:r>
        <w:rPr>
          <w:rStyle w:val="Nessuno"/>
        </w:rPr>
        <w:t>, Journal of Loss and Trauma International Perspectives on Stress &amp; Coping, Taylor and Francis Online.</w:t>
      </w:r>
    </w:p>
    <w:p w:rsidR="00BE4007" w:rsidRDefault="001D7EE7">
      <w:pPr>
        <w:rPr>
          <w:rStyle w:val="Nessuno"/>
        </w:rPr>
      </w:pPr>
      <w:r>
        <w:rPr>
          <w:rStyle w:val="Nessuno"/>
        </w:rPr>
        <w:lastRenderedPageBreak/>
        <w:t>Saunders J, Smith T. 2010, Malnutrition: causes and consequences. Clin Med. 2010;10(6):624-627. doi:10.7861/clinmedicine.10-6-624</w:t>
      </w:r>
    </w:p>
    <w:p w:rsidR="00BE4007" w:rsidRDefault="001D7EE7">
      <w:pPr>
        <w:spacing w:line="276" w:lineRule="auto"/>
        <w:jc w:val="left"/>
        <w:rPr>
          <w:rStyle w:val="Nessuno"/>
        </w:rPr>
      </w:pPr>
      <w:r>
        <w:rPr>
          <w:rStyle w:val="Nessuno"/>
        </w:rPr>
        <w:t>WHO. n.d.</w:t>
      </w:r>
      <w:r>
        <w:rPr>
          <w:rStyle w:val="Nessuno"/>
        </w:rPr>
        <w:t xml:space="preserve"> Chapter 8 - Personal, domestic and community hygiene.</w:t>
      </w:r>
    </w:p>
    <w:p w:rsidR="00BE4007" w:rsidRDefault="001D7EE7">
      <w:pPr>
        <w:spacing w:line="276" w:lineRule="auto"/>
        <w:jc w:val="left"/>
        <w:rPr>
          <w:rStyle w:val="Nessuno"/>
        </w:rPr>
      </w:pPr>
      <w:r>
        <w:rPr>
          <w:rStyle w:val="Nessuno"/>
        </w:rPr>
        <w:t> </w:t>
      </w:r>
      <w:hyperlink r:id="rId25" w:history="1">
        <w:r>
          <w:rPr>
            <w:rStyle w:val="Hyperlink1"/>
          </w:rPr>
          <w:t>https://www.who.int/water_sanitation_health/hygiene/settings/hvchap8.pdf</w:t>
        </w:r>
      </w:hyperlink>
    </w:p>
    <w:p w:rsidR="00BE4007" w:rsidRDefault="001D7EE7">
      <w:pPr>
        <w:jc w:val="left"/>
        <w:rPr>
          <w:rStyle w:val="Nessuno"/>
        </w:rPr>
      </w:pPr>
      <w:r>
        <w:rPr>
          <w:rStyle w:val="Nessuno"/>
        </w:rPr>
        <w:t>WHO. n.d. Migration and Health: Key Iss</w:t>
      </w:r>
      <w:r>
        <w:rPr>
          <w:rStyle w:val="Nessuno"/>
        </w:rPr>
        <w:t xml:space="preserve">ues.  </w:t>
      </w:r>
      <w:hyperlink r:id="rId26" w:history="1">
        <w:r>
          <w:rPr>
            <w:rStyle w:val="Hyperlink1"/>
          </w:rPr>
          <w:t xml:space="preserve">https://www.euro.who.int/__data/assets/pdf_file/0005/293270/Migration-Health-Key-Issues-.pdf </w:t>
        </w:r>
      </w:hyperlink>
    </w:p>
    <w:p w:rsidR="00BE4007" w:rsidRDefault="001D7EE7">
      <w:pPr>
        <w:jc w:val="left"/>
        <w:rPr>
          <w:rStyle w:val="Nessuno"/>
        </w:rPr>
      </w:pPr>
      <w:bookmarkStart w:id="1" w:name="_headingh.35nkun2"/>
      <w:bookmarkEnd w:id="1"/>
      <w:r>
        <w:rPr>
          <w:rStyle w:val="Nessuno"/>
        </w:rPr>
        <w:t>WHO. 2013. Vaccine Safety Basics: Learning Manua</w:t>
      </w:r>
      <w:r>
        <w:rPr>
          <w:rStyle w:val="Nessuno"/>
        </w:rPr>
        <w:t xml:space="preserve">l. SAFETY. </w:t>
      </w:r>
      <w:hyperlink r:id="rId27" w:history="1">
        <w:r>
          <w:rPr>
            <w:rStyle w:val="Hyperlink1"/>
          </w:rPr>
          <w:t>https://www.who.int/vaccine_safety/initiative/tech_support/Vaccine-safety-E-course-manual.pdf</w:t>
        </w:r>
      </w:hyperlink>
      <w:r>
        <w:rPr>
          <w:rStyle w:val="Nessuno"/>
        </w:rPr>
        <w:t xml:space="preserve"> </w:t>
      </w:r>
    </w:p>
    <w:p w:rsidR="00BE4007" w:rsidRDefault="001D7EE7">
      <w:pPr>
        <w:rPr>
          <w:rStyle w:val="Nessuno"/>
        </w:rPr>
      </w:pPr>
      <w:r>
        <w:rPr>
          <w:rStyle w:val="Nessuno"/>
        </w:rPr>
        <w:t>WHO. 2018. Nutrition. </w:t>
      </w:r>
      <w:hyperlink r:id="rId28" w:history="1">
        <w:r>
          <w:rPr>
            <w:rStyle w:val="Hyperlink1"/>
          </w:rPr>
          <w:t>https://www.who.int/news-room/facts-in-pictures/detail/nutrition</w:t>
        </w:r>
      </w:hyperlink>
    </w:p>
    <w:p w:rsidR="00BE4007" w:rsidRDefault="001D7EE7">
      <w:pPr>
        <w:rPr>
          <w:rStyle w:val="Nessuno"/>
        </w:rPr>
      </w:pPr>
      <w:r>
        <w:rPr>
          <w:rStyle w:val="Nessuno"/>
        </w:rPr>
        <w:t xml:space="preserve">WHO. 2018. Report on the health of refugees and migrants in the WHO European Region: no public health without refugee and migrant </w:t>
      </w:r>
      <w:r>
        <w:rPr>
          <w:rStyle w:val="Nessuno"/>
        </w:rPr>
        <w:t xml:space="preserve">health. </w:t>
      </w:r>
      <w:r>
        <w:rPr>
          <w:rStyle w:val="Nessuno"/>
          <w:lang w:val="de-DE"/>
        </w:rPr>
        <w:t xml:space="preserve">ISBN 978 92 890 5384 6. </w:t>
      </w:r>
      <w:hyperlink r:id="rId29" w:history="1">
        <w:r>
          <w:rPr>
            <w:rStyle w:val="Hyperlink2"/>
          </w:rPr>
          <w:t>https://www.e</w:t>
        </w:r>
        <w:r>
          <w:rPr>
            <w:rStyle w:val="Hyperlink2"/>
          </w:rPr>
          <w:t>uro.who.int/en/health-topics/health-determinants/migration-and-health/publications/2018/report-on-the-health-of-refugees-and-migrants-in-the-who-european-region-no-public-health-without-refugee-and-migrant-health-2018</w:t>
        </w:r>
      </w:hyperlink>
      <w:r>
        <w:rPr>
          <w:rStyle w:val="Nessuno"/>
          <w:lang w:val="de-DE"/>
        </w:rPr>
        <w:t xml:space="preserve"> </w:t>
      </w:r>
    </w:p>
    <w:p w:rsidR="00BE4007" w:rsidRDefault="001D7EE7">
      <w:pPr>
        <w:rPr>
          <w:rStyle w:val="Nessuno"/>
        </w:rPr>
      </w:pPr>
      <w:r>
        <w:rPr>
          <w:rStyle w:val="Nessuno"/>
        </w:rPr>
        <w:t xml:space="preserve">WHO. 2019. </w:t>
      </w:r>
      <w:hyperlink r:id="rId30" w:history="1">
        <w:r>
          <w:rPr>
            <w:rStyle w:val="Hyperlink1"/>
          </w:rPr>
          <w:t>https://www.who.int/news-room/facts-in-pictures/detail/immunization</w:t>
        </w:r>
      </w:hyperlink>
    </w:p>
    <w:p w:rsidR="00BE4007" w:rsidRDefault="001D7EE7">
      <w:pPr>
        <w:rPr>
          <w:rStyle w:val="Nessuno"/>
        </w:rPr>
      </w:pPr>
      <w:r>
        <w:rPr>
          <w:rStyle w:val="Nessuno"/>
        </w:rPr>
        <w:t>WHO. 2019. Vaccines and immunizations. </w:t>
      </w:r>
      <w:hyperlink r:id="rId31" w:history="1">
        <w:r>
          <w:rPr>
            <w:rStyle w:val="Hyperlink1"/>
          </w:rPr>
          <w:t>https://www.who.i</w:t>
        </w:r>
        <w:r>
          <w:rPr>
            <w:rStyle w:val="Hyperlink1"/>
          </w:rPr>
          <w:t>nt/health-topics/vaccines-and-immunization#tab=tab_1</w:t>
        </w:r>
      </w:hyperlink>
    </w:p>
    <w:p w:rsidR="00BE4007" w:rsidRDefault="001D7EE7">
      <w:pPr>
        <w:rPr>
          <w:rStyle w:val="Nessuno"/>
        </w:rPr>
      </w:pPr>
      <w:r>
        <w:rPr>
          <w:rStyle w:val="Nessuno"/>
        </w:rPr>
        <w:t xml:space="preserve">WHO. 2021. Vaccines and immunization: What is vaccination? https://www.who.int/news-room/questions-and-answers/item/vaccines-and-immunization-what-is-vaccination. </w:t>
      </w:r>
    </w:p>
    <w:p w:rsidR="00BE4007" w:rsidRDefault="001D7EE7">
      <w:pPr>
        <w:rPr>
          <w:rStyle w:val="Nessuno"/>
        </w:rPr>
      </w:pPr>
      <w:r>
        <w:rPr>
          <w:rStyle w:val="Nessuno"/>
        </w:rPr>
        <w:t>UNICEF. 2020. Immunization. </w:t>
      </w:r>
      <w:hyperlink r:id="rId32" w:history="1">
        <w:r>
          <w:rPr>
            <w:rStyle w:val="Hyperlink1"/>
          </w:rPr>
          <w:t>https://www.unicef.org/eca/health/immunization</w:t>
        </w:r>
      </w:hyperlink>
      <w:r>
        <w:rPr>
          <w:rStyle w:val="Nessuno"/>
        </w:rPr>
        <w:t xml:space="preserve">. </w:t>
      </w:r>
    </w:p>
    <w:p w:rsidR="00BE4007" w:rsidRDefault="001D7EE7">
      <w:pPr>
        <w:rPr>
          <w:rStyle w:val="Nessuno"/>
        </w:rPr>
      </w:pPr>
      <w:r>
        <w:rPr>
          <w:rStyle w:val="Nessuno"/>
        </w:rPr>
        <w:t xml:space="preserve">UNHCR. 2015. </w:t>
      </w:r>
      <w:r>
        <w:rPr>
          <w:rStyle w:val="Nessuno"/>
          <w:i/>
          <w:iCs/>
        </w:rPr>
        <w:t xml:space="preserve">Culture, Context and the Mental Health and Psychosocial Wellbeing of Syrians. A Review for Mental Health and Psychosocial Support staff </w:t>
      </w:r>
      <w:r>
        <w:rPr>
          <w:rStyle w:val="Nessuno"/>
          <w:i/>
          <w:iCs/>
        </w:rPr>
        <w:t>Working with Syrians Affected by Armed Conflict</w:t>
      </w:r>
      <w:r>
        <w:rPr>
          <w:rStyle w:val="Nessuno"/>
        </w:rPr>
        <w:t xml:space="preserve">. Retrieved from: </w:t>
      </w:r>
      <w:hyperlink r:id="rId33" w:history="1">
        <w:r>
          <w:rPr>
            <w:rStyle w:val="Hyperlink1"/>
          </w:rPr>
          <w:t>https://www.unhcr.org/55f6b90f9.pdf</w:t>
        </w:r>
      </w:hyperlink>
    </w:p>
    <w:p w:rsidR="00BE4007" w:rsidRDefault="001D7EE7">
      <w:r>
        <w:rPr>
          <w:rStyle w:val="Nessuno"/>
        </w:rPr>
        <w:t xml:space="preserve">UNHCR, IOM, MHPSS. 2015. </w:t>
      </w:r>
      <w:r>
        <w:rPr>
          <w:rStyle w:val="Nessuno"/>
          <w:i/>
          <w:iCs/>
        </w:rPr>
        <w:t>Mental Health and Psychosocial Support for Refugees, Asylum Seekers and Migrant</w:t>
      </w:r>
      <w:r>
        <w:rPr>
          <w:rStyle w:val="Nessuno"/>
          <w:i/>
          <w:iCs/>
        </w:rPr>
        <w:t xml:space="preserve">s on the Move in Europe. A multi-agency guidance </w:t>
      </w:r>
      <w:proofErr w:type="gramStart"/>
      <w:r>
        <w:rPr>
          <w:rStyle w:val="Nessuno"/>
          <w:i/>
          <w:iCs/>
        </w:rPr>
        <w:t>note</w:t>
      </w:r>
      <w:proofErr w:type="gramEnd"/>
      <w:r>
        <w:rPr>
          <w:rStyle w:val="Nessuno"/>
        </w:rPr>
        <w:t xml:space="preserve">. Retrieved from: </w:t>
      </w:r>
      <w:hyperlink r:id="rId34" w:history="1">
        <w:r>
          <w:rPr>
            <w:rStyle w:val="Hyperlink1"/>
          </w:rPr>
          <w:t>http://www.euro.who.int/en/health-topics/health-determinants/migration-and-health/publications/2016/mental-health-and-psychosocial-support-for-refugees,-asylum-seekers-and-migrants-on-the-mov</w:t>
        </w:r>
        <w:r>
          <w:rPr>
            <w:rStyle w:val="Hyperlink1"/>
          </w:rPr>
          <w:t>e-in-europe.-a-multi-agency-guidance-note-2015</w:t>
        </w:r>
      </w:hyperlink>
    </w:p>
    <w:sectPr w:rsidR="00BE4007">
      <w:headerReference w:type="default" r:id="rId35"/>
      <w:pgSz w:w="11900" w:h="16840"/>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EE7" w:rsidRDefault="001D7EE7">
      <w:pPr>
        <w:spacing w:after="0" w:line="240" w:lineRule="auto"/>
      </w:pPr>
      <w:r>
        <w:separator/>
      </w:r>
    </w:p>
  </w:endnote>
  <w:endnote w:type="continuationSeparator" w:id="0">
    <w:p w:rsidR="001D7EE7" w:rsidRDefault="001D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EE7" w:rsidRDefault="001D7EE7">
      <w:pPr>
        <w:spacing w:after="0" w:line="240" w:lineRule="auto"/>
      </w:pPr>
      <w:r>
        <w:separator/>
      </w:r>
    </w:p>
  </w:footnote>
  <w:footnote w:type="continuationSeparator" w:id="0">
    <w:p w:rsidR="001D7EE7" w:rsidRDefault="001D7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007" w:rsidRDefault="001D7EE7">
    <w:pPr>
      <w:rPr>
        <w:b/>
        <w:bCs/>
        <w:i/>
        <w:iCs/>
        <w:sz w:val="24"/>
        <w:szCs w:val="24"/>
      </w:rPr>
    </w:pPr>
    <w:r>
      <w:rPr>
        <w:noProof/>
      </w:rPr>
      <w:drawing>
        <wp:inline distT="0" distB="0" distL="0" distR="0">
          <wp:extent cx="2614930" cy="745809"/>
          <wp:effectExtent l="0" t="0" r="0" b="0"/>
          <wp:docPr id="1073741825" name="officeArt object" descr="Logo EU Erasmus+"/>
          <wp:cNvGraphicFramePr/>
          <a:graphic xmlns:a="http://schemas.openxmlformats.org/drawingml/2006/main">
            <a:graphicData uri="http://schemas.openxmlformats.org/drawingml/2006/picture">
              <pic:pic xmlns:pic="http://schemas.openxmlformats.org/drawingml/2006/picture">
                <pic:nvPicPr>
                  <pic:cNvPr id="1073741825" name="Logo EU Erasmus+" descr="Logo EU Erasmus+"/>
                  <pic:cNvPicPr>
                    <a:picLocks noChangeAspect="1"/>
                  </pic:cNvPicPr>
                </pic:nvPicPr>
                <pic:blipFill>
                  <a:blip r:embed="rId1">
                    <a:extLst/>
                  </a:blip>
                  <a:stretch>
                    <a:fillRect/>
                  </a:stretch>
                </pic:blipFill>
                <pic:spPr>
                  <a:xfrm>
                    <a:off x="0" y="0"/>
                    <a:ext cx="2614930" cy="745809"/>
                  </a:xfrm>
                  <a:prstGeom prst="rect">
                    <a:avLst/>
                  </a:prstGeom>
                  <a:ln w="12700" cap="flat">
                    <a:noFill/>
                    <a:miter lim="400000"/>
                  </a:ln>
                  <a:effectLst/>
                </pic:spPr>
              </pic:pic>
            </a:graphicData>
          </a:graphic>
        </wp:inline>
      </w:drawing>
    </w:r>
    <w:r>
      <w:rPr>
        <w:noProof/>
      </w:rPr>
      <w:drawing>
        <wp:inline distT="0" distB="0" distL="0" distR="0">
          <wp:extent cx="1917700" cy="5461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1.png"/>
                  <pic:cNvPicPr>
                    <a:picLocks noChangeAspect="1"/>
                  </pic:cNvPicPr>
                </pic:nvPicPr>
                <pic:blipFill>
                  <a:blip r:embed="rId2">
                    <a:extLst/>
                  </a:blip>
                  <a:stretch>
                    <a:fillRect/>
                  </a:stretch>
                </pic:blipFill>
                <pic:spPr>
                  <a:xfrm>
                    <a:off x="0" y="0"/>
                    <a:ext cx="1917700" cy="546100"/>
                  </a:xfrm>
                  <a:prstGeom prst="rect">
                    <a:avLst/>
                  </a:prstGeom>
                  <a:ln w="12700" cap="flat">
                    <a:noFill/>
                    <a:miter lim="400000"/>
                  </a:ln>
                  <a:effectLst/>
                </pic:spPr>
              </pic:pic>
            </a:graphicData>
          </a:graphic>
        </wp:inline>
      </w:drawing>
    </w:r>
    <w:r>
      <w:br/>
    </w:r>
    <w:r>
      <w:rPr>
        <w:b/>
        <w:bCs/>
        <w:i/>
        <w:iCs/>
        <w:sz w:val="24"/>
        <w:szCs w:val="24"/>
      </w:rPr>
      <w:t xml:space="preserve">                                           Cont</w:t>
    </w:r>
    <w:r>
      <w:rPr>
        <w:b/>
        <w:bCs/>
        <w:i/>
        <w:iCs/>
        <w:sz w:val="24"/>
        <w:szCs w:val="24"/>
        <w:lang w:val="it-IT"/>
      </w:rPr>
      <w:t>ract</w:t>
    </w:r>
    <w:r>
      <w:rPr>
        <w:b/>
        <w:bCs/>
        <w:i/>
        <w:iCs/>
        <w:sz w:val="24"/>
        <w:szCs w:val="24"/>
      </w:rPr>
      <w:t xml:space="preserve"> n. 2020-1-DE02-KA204-007679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007" w:rsidRDefault="004E7D4E" w:rsidP="004E7D4E">
    <w:pPr>
      <w:ind w:left="-510"/>
    </w:pPr>
    <w:r>
      <w:rPr>
        <w:noProof/>
      </w:rPr>
      <w:drawing>
        <wp:inline distT="0" distB="0" distL="0" distR="0" wp14:anchorId="762011D6" wp14:editId="47593B59">
          <wp:extent cx="2614930" cy="745808"/>
          <wp:effectExtent l="0" t="0" r="0" b="0"/>
          <wp:docPr id="13" name="image4.png" descr="Logo EU Erasmus+"/>
          <wp:cNvGraphicFramePr/>
          <a:graphic xmlns:a="http://schemas.openxmlformats.org/drawingml/2006/main">
            <a:graphicData uri="http://schemas.openxmlformats.org/drawingml/2006/picture">
              <pic:pic xmlns:pic="http://schemas.openxmlformats.org/drawingml/2006/picture">
                <pic:nvPicPr>
                  <pic:cNvPr id="0" name="image4.png" descr="Logo EU Erasmus+"/>
                  <pic:cNvPicPr preferRelativeResize="0"/>
                </pic:nvPicPr>
                <pic:blipFill>
                  <a:blip r:embed="rId1"/>
                  <a:srcRect/>
                  <a:stretch>
                    <a:fillRect/>
                  </a:stretch>
                </pic:blipFill>
                <pic:spPr>
                  <a:xfrm>
                    <a:off x="0" y="0"/>
                    <a:ext cx="2614930" cy="745808"/>
                  </a:xfrm>
                  <a:prstGeom prst="rect">
                    <a:avLst/>
                  </a:prstGeom>
                  <a:ln/>
                </pic:spPr>
              </pic:pic>
            </a:graphicData>
          </a:graphic>
        </wp:inline>
      </w:drawing>
    </w:r>
    <w:r>
      <w:rPr>
        <w:noProof/>
      </w:rPr>
      <w:drawing>
        <wp:inline distT="0" distB="0" distL="0" distR="0">
          <wp:extent cx="1917700" cy="546100"/>
          <wp:effectExtent l="0" t="0" r="6350" b="6350"/>
          <wp:docPr id="1" name="Immagine 1" descr="logo-full-700x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ull-700x18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7700" cy="546100"/>
                  </a:xfrm>
                  <a:prstGeom prst="rect">
                    <a:avLst/>
                  </a:prstGeom>
                  <a:noFill/>
                  <a:ln>
                    <a:noFill/>
                  </a:ln>
                </pic:spPr>
              </pic:pic>
            </a:graphicData>
          </a:graphic>
        </wp:inline>
      </w:drawing>
    </w:r>
    <w:r>
      <w:br/>
    </w:r>
    <w:r>
      <w:rPr>
        <w:b/>
        <w:i/>
        <w:sz w:val="24"/>
        <w:szCs w:val="24"/>
      </w:rPr>
      <w:t xml:space="preserve">                                           </w:t>
    </w:r>
    <w:r>
      <w:rPr>
        <w:b/>
        <w:i/>
        <w:sz w:val="24"/>
        <w:szCs w:val="24"/>
      </w:rPr>
      <w:t>C</w:t>
    </w:r>
    <w:r w:rsidRPr="004E7D4E">
      <w:rPr>
        <w:b/>
        <w:i/>
        <w:sz w:val="24"/>
        <w:szCs w:val="24"/>
      </w:rPr>
      <w:t>ontrat</w:t>
    </w:r>
    <w:r>
      <w:rPr>
        <w:b/>
        <w:i/>
        <w:sz w:val="24"/>
        <w:szCs w:val="24"/>
      </w:rPr>
      <w:t xml:space="preserve"> n. 2020-1-DE02-KA204-007679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D3D19"/>
    <w:multiLevelType w:val="hybridMultilevel"/>
    <w:tmpl w:val="3F56212C"/>
    <w:styleLink w:val="Stileimportato2"/>
    <w:lvl w:ilvl="0" w:tplc="F27AE5D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80CAD1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1265F9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681C886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07010C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BAD4F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CA09B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E9EE2C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E6453B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48F6842"/>
    <w:multiLevelType w:val="hybridMultilevel"/>
    <w:tmpl w:val="3F56212C"/>
    <w:numStyleLink w:val="Stileimportato2"/>
  </w:abstractNum>
  <w:abstractNum w:abstractNumId="2" w15:restartNumberingAfterBreak="0">
    <w:nsid w:val="1F931233"/>
    <w:multiLevelType w:val="hybridMultilevel"/>
    <w:tmpl w:val="B44414F6"/>
    <w:styleLink w:val="WWNum5"/>
    <w:lvl w:ilvl="0" w:tplc="8B5CEBA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58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F9AE7D4">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130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474A34D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20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A60CC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274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F3383570">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346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7E5021E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41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4E8F7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490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0F4CF90">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562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4708DF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6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1963D8C"/>
    <w:multiLevelType w:val="hybridMultilevel"/>
    <w:tmpl w:val="B44414F6"/>
    <w:numStyleLink w:val="WWNum5"/>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007"/>
    <w:rsid w:val="001D7EE7"/>
    <w:rsid w:val="004E7D4E"/>
    <w:rsid w:val="00BE40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2DFAB"/>
  <w15:docId w15:val="{CF7D3987-CDD1-44E1-8338-951349C2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360" w:lineRule="auto"/>
      <w:jc w:val="both"/>
    </w:pPr>
    <w:rPr>
      <w:rFonts w:ascii="Calibri" w:hAnsi="Calibri" w:cs="Arial Unicode MS"/>
      <w:color w:val="000000"/>
      <w:sz w:val="22"/>
      <w:szCs w:val="22"/>
      <w:u w:color="000000"/>
      <w:lang w:val="en-US"/>
    </w:rPr>
  </w:style>
  <w:style w:type="paragraph" w:styleId="Titolo2">
    <w:name w:val="heading 2"/>
    <w:next w:val="Normale"/>
    <w:uiPriority w:val="9"/>
    <w:unhideWhenUsed/>
    <w:qFormat/>
    <w:pPr>
      <w:keepNext/>
      <w:keepLines/>
      <w:spacing w:before="40" w:line="360" w:lineRule="auto"/>
      <w:outlineLvl w:val="1"/>
    </w:pPr>
    <w:rPr>
      <w:rFonts w:ascii="Calibri" w:hAnsi="Calibri" w:cs="Arial Unicode MS"/>
      <w:b/>
      <w:bC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Nessuno">
    <w:name w:val="Nessuno"/>
  </w:style>
  <w:style w:type="character" w:customStyle="1" w:styleId="Hyperlink0">
    <w:name w:val="Hyperlink.0"/>
    <w:basedOn w:val="Nessuno"/>
    <w:rPr>
      <w:rFonts w:ascii="Calibri" w:eastAsia="Calibri" w:hAnsi="Calibri" w:cs="Calibri"/>
      <w:outline w:val="0"/>
      <w:color w:val="0563C1"/>
      <w:u w:val="single" w:color="0563C1"/>
      <w:lang w:val="en-US"/>
    </w:rPr>
  </w:style>
  <w:style w:type="numbering" w:customStyle="1" w:styleId="WWNum5">
    <w:name w:val="WWNum5"/>
    <w:pPr>
      <w:numPr>
        <w:numId w:val="1"/>
      </w:numPr>
    </w:pPr>
  </w:style>
  <w:style w:type="paragraph" w:customStyle="1" w:styleId="Corpo">
    <w:name w:val="Corpo"/>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Sommario2">
    <w:name w:val="toc 2"/>
    <w:next w:val="Normale"/>
    <w:pPr>
      <w:spacing w:after="100" w:line="360" w:lineRule="auto"/>
      <w:ind w:left="220"/>
      <w:jc w:val="both"/>
    </w:pPr>
    <w:rPr>
      <w:rFonts w:ascii="Calibri" w:hAnsi="Calibri" w:cs="Arial Unicode MS"/>
      <w:color w:val="000000"/>
      <w:sz w:val="22"/>
      <w:szCs w:val="22"/>
      <w:u w:color="000000"/>
      <w:lang w:val="en-US"/>
    </w:rPr>
  </w:style>
  <w:style w:type="numbering" w:customStyle="1" w:styleId="Stileimportato2">
    <w:name w:val="Stile importato 2"/>
    <w:pPr>
      <w:numPr>
        <w:numId w:val="3"/>
      </w:numPr>
    </w:pPr>
  </w:style>
  <w:style w:type="character" w:customStyle="1" w:styleId="Hyperlink1">
    <w:name w:val="Hyperlink.1"/>
    <w:basedOn w:val="Nessuno"/>
    <w:rPr>
      <w:outline w:val="0"/>
      <w:color w:val="0563C1"/>
      <w:u w:val="single" w:color="0563C1"/>
    </w:rPr>
  </w:style>
  <w:style w:type="character" w:customStyle="1" w:styleId="Hyperlink2">
    <w:name w:val="Hyperlink.2"/>
    <w:basedOn w:val="Nessuno"/>
    <w:rPr>
      <w:outline w:val="0"/>
      <w:color w:val="0563C1"/>
      <w:u w:val="single" w:color="0563C1"/>
      <w:lang w:val="de-DE"/>
    </w:rPr>
  </w:style>
  <w:style w:type="paragraph" w:styleId="Intestazione">
    <w:name w:val="header"/>
    <w:basedOn w:val="Normale"/>
    <w:link w:val="IntestazioneCarattere"/>
    <w:uiPriority w:val="99"/>
    <w:unhideWhenUsed/>
    <w:rsid w:val="004E7D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E7D4E"/>
    <w:rPr>
      <w:rFonts w:ascii="Calibri" w:hAnsi="Calibri" w:cs="Arial Unicode MS"/>
      <w:color w:val="000000"/>
      <w:sz w:val="22"/>
      <w:szCs w:val="22"/>
      <w:u w:color="000000"/>
      <w:lang w:val="en-US"/>
    </w:rPr>
  </w:style>
  <w:style w:type="paragraph" w:styleId="Pidipagina">
    <w:name w:val="footer"/>
    <w:basedOn w:val="Normale"/>
    <w:link w:val="PidipaginaCarattere"/>
    <w:uiPriority w:val="99"/>
    <w:unhideWhenUsed/>
    <w:rsid w:val="004E7D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E7D4E"/>
    <w:rPr>
      <w:rFonts w:ascii="Calibri" w:hAnsi="Calibri"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png"/><Relationship Id="rId26" Type="http://schemas.openxmlformats.org/officeDocument/2006/relationships/hyperlink" Target="https://www.euro.who.int/__data/assets/pdf_file/0005/293270/Migration-Health-Key-Issues-.pdf" TargetMode="External"/><Relationship Id="rId21" Type="http://schemas.openxmlformats.org/officeDocument/2006/relationships/hyperlink" Target="https://www.hopkinsmedicine.org/health/wellness-and-prevention/abcs-of-eating-smart-for-a-healthy-heart" TargetMode="External"/><Relationship Id="rId34" Type="http://schemas.openxmlformats.org/officeDocument/2006/relationships/hyperlink" Target="http://www.euro.who.int/en/health-topics/health-determinants/migration-and-health/publications/2016/mental-health-and-psychosocial-support-for-refugees,-asylum-seekers-and-migrants-on-the-move-in-europe.-a-multi-agency-guidance-note-2015" TargetMode="Externa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hyperlink" Target="https://mig-dhl.eu/" TargetMode="External"/><Relationship Id="rId25" Type="http://schemas.openxmlformats.org/officeDocument/2006/relationships/hyperlink" Target="https://www.who.int/water_sanitation_health/hygiene/settings/hvchap8.pdf" TargetMode="External"/><Relationship Id="rId33" Type="http://schemas.openxmlformats.org/officeDocument/2006/relationships/hyperlink" Target="https://www.unhcr.org/55f6b90f9.pdf"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s://www.hopkinsmedicine.org/health/treatment-tests-and-therapies/screening-tests-for-common-diseases" TargetMode="External"/><Relationship Id="rId29" Type="http://schemas.openxmlformats.org/officeDocument/2006/relationships/hyperlink" Target="https://www.euro.who.int/en/health-topics/health-determinants/migration-and-health/publications/2018/report-on-the-health-of-refugees-and-migrants-in-the-who-european-region-no-public-health-without-refugee-and-migrant-health-20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hyperlink" Target="https://www.startts.org.au/media/Resource-Working-with-Refugees-Social-Worker-Guide.pdf" TargetMode="External"/><Relationship Id="rId32" Type="http://schemas.openxmlformats.org/officeDocument/2006/relationships/hyperlink" Target="https://www.unicef.org/eca/health/immunization"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s://pubs.niaaa.nih.gov/publications/aa71/aa71.htm" TargetMode="External"/><Relationship Id="rId28" Type="http://schemas.openxmlformats.org/officeDocument/2006/relationships/hyperlink" Target="https://www.who.int/news-room/facts-in-pictures/detail/nutrition" TargetMode="External"/><Relationship Id="rId36"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hyperlink" Target="http://www.europarl.europa.eu/RegData/etudes/IDAN/2017/602004/IPOL_IDA(2017)602004_EN.pdf" TargetMode="External"/><Relationship Id="rId31" Type="http://schemas.openxmlformats.org/officeDocument/2006/relationships/hyperlink" Target="https://www.who.int/health-topics/vaccines-and-immunization"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hyperlink" Target="https://www.hopkinsmedicine.org/health/conditions-and-diseases/malnutrition" TargetMode="External"/><Relationship Id="rId27" Type="http://schemas.openxmlformats.org/officeDocument/2006/relationships/hyperlink" Target="https://www.who.int/vaccine_safety/initiative/tech_support/Vaccine-safety-E-course-manual.pdf" TargetMode="External"/><Relationship Id="rId30" Type="http://schemas.openxmlformats.org/officeDocument/2006/relationships/hyperlink" Target="https://www.who.int/news-room/facts-in-pictures/detail/immunization" TargetMode="External"/><Relationship Id="rId35" Type="http://schemas.openxmlformats.org/officeDocument/2006/relationships/header" Target="header2.xml"/><Relationship Id="rId8" Type="http://schemas.openxmlformats.org/officeDocument/2006/relationships/image" Target="media/image2.jp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Calibri"/>
        <a:ea typeface="Calibri"/>
        <a:cs typeface="Calibri"/>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3393</Words>
  <Characters>19346</Characters>
  <Application>Microsoft Office Word</Application>
  <DocSecurity>0</DocSecurity>
  <Lines>161</Lines>
  <Paragraphs>45</Paragraphs>
  <ScaleCrop>false</ScaleCrop>
  <Company/>
  <LinksUpToDate>false</LinksUpToDate>
  <CharactersWithSpaces>22694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Josemar Alejandro Jimenez</cp:lastModifiedBy>
  <cp:revision>2</cp:revision>
  <dcterms:created xsi:type="dcterms:W3CDTF">2022-10-28T14:08:00Z</dcterms:created>
  <dcterms:modified xsi:type="dcterms:W3CDTF">2022-10-28T14:15:00Z</dcterms:modified>
</cp:coreProperties>
</file>